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33D8" w14:textId="77777777" w:rsidR="007F0140" w:rsidRDefault="007F0140" w:rsidP="007F0140">
      <w:r w:rsidRPr="00B61F59">
        <w:rPr>
          <w:noProof/>
        </w:rPr>
        <w:drawing>
          <wp:anchor distT="0" distB="0" distL="114300" distR="114300" simplePos="0" relativeHeight="251658242" behindDoc="0" locked="0" layoutInCell="1" allowOverlap="1" wp14:anchorId="75D083F3" wp14:editId="2EC151C0">
            <wp:simplePos x="0" y="0"/>
            <wp:positionH relativeFrom="column">
              <wp:posOffset>-906780</wp:posOffset>
            </wp:positionH>
            <wp:positionV relativeFrom="paragraph">
              <wp:posOffset>-845820</wp:posOffset>
            </wp:positionV>
            <wp:extent cx="7810500" cy="4874895"/>
            <wp:effectExtent l="0" t="0" r="0" b="1905"/>
            <wp:wrapNone/>
            <wp:docPr id="80968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680413"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7810500" cy="4874895"/>
                    </a:xfrm>
                    <a:prstGeom prst="rect">
                      <a:avLst/>
                    </a:prstGeom>
                  </pic:spPr>
                </pic:pic>
              </a:graphicData>
            </a:graphic>
            <wp14:sizeRelH relativeFrom="page">
              <wp14:pctWidth>0</wp14:pctWidth>
            </wp14:sizeRelH>
            <wp14:sizeRelV relativeFrom="page">
              <wp14:pctHeight>0</wp14:pctHeight>
            </wp14:sizeRelV>
          </wp:anchor>
        </w:drawing>
      </w:r>
      <w:r>
        <w:t>re</w:t>
      </w:r>
    </w:p>
    <w:p w14:paraId="56A0BDCF" w14:textId="77777777" w:rsidR="007F0140" w:rsidRDefault="007F0140" w:rsidP="007F0140"/>
    <w:p w14:paraId="6F9E8DF4" w14:textId="77777777" w:rsidR="007F0140" w:rsidRDefault="007F0140" w:rsidP="007F0140"/>
    <w:p w14:paraId="30B8CF17" w14:textId="77777777" w:rsidR="007F0140" w:rsidRDefault="007F0140" w:rsidP="007F0140"/>
    <w:p w14:paraId="3CED6C2A" w14:textId="77777777" w:rsidR="007F0140" w:rsidRDefault="007F0140" w:rsidP="007F0140"/>
    <w:p w14:paraId="7B5B53AE" w14:textId="77777777" w:rsidR="007F0140" w:rsidRDefault="007F0140" w:rsidP="007F0140"/>
    <w:p w14:paraId="79A644E6" w14:textId="77777777" w:rsidR="007F0140" w:rsidRDefault="007F0140" w:rsidP="007F0140"/>
    <w:p w14:paraId="7AAE3425" w14:textId="77777777" w:rsidR="007F0140" w:rsidRDefault="007F0140" w:rsidP="007F0140"/>
    <w:p w14:paraId="081374BE" w14:textId="77777777" w:rsidR="007F0140" w:rsidRDefault="007F0140" w:rsidP="007F0140"/>
    <w:p w14:paraId="6D7255E4" w14:textId="77777777" w:rsidR="007F0140" w:rsidRDefault="007F0140" w:rsidP="007F0140"/>
    <w:p w14:paraId="565606DC" w14:textId="77777777" w:rsidR="007F0140" w:rsidRDefault="007F0140" w:rsidP="007F0140"/>
    <w:p w14:paraId="3D5209A7" w14:textId="78D14E87" w:rsidR="007F0140" w:rsidRDefault="007F0140" w:rsidP="007F0140">
      <w:r>
        <w:rPr>
          <w:noProof/>
        </w:rPr>
        <mc:AlternateContent>
          <mc:Choice Requires="wps">
            <w:drawing>
              <wp:anchor distT="0" distB="0" distL="114300" distR="114300" simplePos="0" relativeHeight="251658241" behindDoc="0" locked="0" layoutInCell="1" allowOverlap="1" wp14:anchorId="0ED6577B" wp14:editId="640D0D26">
                <wp:simplePos x="0" y="0"/>
                <wp:positionH relativeFrom="column">
                  <wp:posOffset>-937260</wp:posOffset>
                </wp:positionH>
                <wp:positionV relativeFrom="paragraph">
                  <wp:posOffset>214630</wp:posOffset>
                </wp:positionV>
                <wp:extent cx="7840980" cy="2968625"/>
                <wp:effectExtent l="0" t="0" r="7620" b="3175"/>
                <wp:wrapNone/>
                <wp:docPr id="20441110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0980" cy="2968625"/>
                        </a:xfrm>
                        <a:prstGeom prst="rect">
                          <a:avLst/>
                        </a:prstGeom>
                        <a:solidFill>
                          <a:srgbClr val="A6192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EB2B76" w14:textId="4817BC3F" w:rsidR="007F0140" w:rsidRPr="00404CA0" w:rsidRDefault="007F0140" w:rsidP="007F0140">
                            <w:pPr>
                              <w:spacing w:before="720" w:after="0"/>
                              <w:jc w:val="center"/>
                              <w:rPr>
                                <w:rFonts w:cs="Aldhabi"/>
                                <w:b/>
                                <w:color w:val="FFFFFF" w:themeColor="background1"/>
                                <w:sz w:val="48"/>
                                <w:szCs w:val="48"/>
                              </w:rPr>
                            </w:pPr>
                            <w:r w:rsidRPr="00404CA0">
                              <w:rPr>
                                <w:rFonts w:cs="Aldhabi"/>
                                <w:b/>
                                <w:color w:val="FFFFFF" w:themeColor="background1"/>
                                <w:sz w:val="48"/>
                                <w:szCs w:val="48"/>
                              </w:rPr>
                              <w:t xml:space="preserve">Recommendations </w:t>
                            </w:r>
                            <w:r w:rsidR="00E500B6">
                              <w:rPr>
                                <w:rFonts w:cs="Aldhabi"/>
                                <w:b/>
                                <w:color w:val="FFFFFF" w:themeColor="background1"/>
                                <w:sz w:val="48"/>
                                <w:szCs w:val="48"/>
                              </w:rPr>
                              <w:t>Summary</w:t>
                            </w:r>
                            <w:r w:rsidRPr="00404CA0">
                              <w:rPr>
                                <w:rFonts w:cs="Aldhabi"/>
                                <w:b/>
                                <w:color w:val="FFFFFF" w:themeColor="background1"/>
                                <w:sz w:val="48"/>
                                <w:szCs w:val="48"/>
                              </w:rPr>
                              <w:t xml:space="preserve"> | </w:t>
                            </w:r>
                            <w:r w:rsidR="00A7603E" w:rsidRPr="00A7603E">
                              <w:rPr>
                                <w:rFonts w:cs="Aldhabi"/>
                                <w:b/>
                                <w:color w:val="FFFFFF" w:themeColor="background1"/>
                                <w:sz w:val="48"/>
                                <w:szCs w:val="48"/>
                              </w:rPr>
                              <w:t>Ng</w:t>
                            </w:r>
                            <w:r w:rsidR="00A7603E">
                              <w:rPr>
                                <w:rFonts w:cs="Aldhabi"/>
                                <w:b/>
                                <w:color w:val="FFFFFF" w:themeColor="background1"/>
                                <w:sz w:val="48"/>
                                <w:szCs w:val="48"/>
                              </w:rPr>
                              <w:t>ā</w:t>
                            </w:r>
                            <w:r w:rsidR="00A7603E" w:rsidRPr="00A7603E">
                              <w:rPr>
                                <w:rFonts w:cs="Aldhabi"/>
                                <w:b/>
                                <w:color w:val="FFFFFF" w:themeColor="background1"/>
                                <w:sz w:val="48"/>
                                <w:szCs w:val="48"/>
                              </w:rPr>
                              <w:t xml:space="preserve"> </w:t>
                            </w:r>
                            <w:r w:rsidR="00A7603E">
                              <w:rPr>
                                <w:rFonts w:cs="Aldhabi"/>
                                <w:b/>
                                <w:color w:val="FFFFFF" w:themeColor="background1"/>
                                <w:sz w:val="48"/>
                                <w:szCs w:val="48"/>
                              </w:rPr>
                              <w:t>Kō</w:t>
                            </w:r>
                            <w:r w:rsidR="00A7603E" w:rsidRPr="00A7603E">
                              <w:rPr>
                                <w:rFonts w:cs="Aldhabi"/>
                                <w:b/>
                                <w:color w:val="FFFFFF" w:themeColor="background1"/>
                                <w:sz w:val="48"/>
                                <w:szCs w:val="48"/>
                              </w:rPr>
                              <w:t>rero Whakar</w:t>
                            </w:r>
                            <w:r w:rsidR="00A7603E">
                              <w:rPr>
                                <w:rFonts w:cs="Aldhabi"/>
                                <w:b/>
                                <w:color w:val="FFFFFF" w:themeColor="background1"/>
                                <w:sz w:val="48"/>
                                <w:szCs w:val="48"/>
                              </w:rPr>
                              <w:t>ā</w:t>
                            </w:r>
                            <w:r w:rsidR="00A7603E" w:rsidRPr="00A7603E">
                              <w:rPr>
                                <w:rFonts w:cs="Aldhabi"/>
                                <w:b/>
                                <w:color w:val="FFFFFF" w:themeColor="background1"/>
                                <w:sz w:val="48"/>
                                <w:szCs w:val="48"/>
                              </w:rPr>
                              <w:t>popoto</w:t>
                            </w:r>
                          </w:p>
                          <w:p w14:paraId="38EF4920" w14:textId="77777777" w:rsidR="007F0140" w:rsidRDefault="007F0140" w:rsidP="007F0140">
                            <w:pPr>
                              <w:shd w:val="clear" w:color="auto" w:fill="A6192E"/>
                              <w:spacing w:before="480" w:after="0"/>
                              <w:jc w:val="center"/>
                              <w:rPr>
                                <w:b/>
                                <w:color w:val="FFFFFF" w:themeColor="background1"/>
                                <w:sz w:val="28"/>
                                <w:szCs w:val="28"/>
                              </w:rPr>
                            </w:pPr>
                            <w:r w:rsidRPr="00404CA0">
                              <w:rPr>
                                <w:b/>
                                <w:color w:val="FFFFFF" w:themeColor="background1"/>
                                <w:sz w:val="28"/>
                                <w:szCs w:val="28"/>
                              </w:rPr>
                              <w:t xml:space="preserve">Review of the Health and Disability Commissioner Act 1994 and the </w:t>
                            </w:r>
                          </w:p>
                          <w:p w14:paraId="4ED522BF" w14:textId="77777777" w:rsidR="007F0140" w:rsidRDefault="007F0140" w:rsidP="007F0140">
                            <w:pPr>
                              <w:shd w:val="clear" w:color="auto" w:fill="A6192E"/>
                              <w:spacing w:after="0"/>
                              <w:jc w:val="center"/>
                              <w:rPr>
                                <w:b/>
                                <w:color w:val="FFFFFF" w:themeColor="background1"/>
                                <w:sz w:val="28"/>
                                <w:szCs w:val="28"/>
                              </w:rPr>
                            </w:pPr>
                            <w:r w:rsidRPr="00404CA0">
                              <w:rPr>
                                <w:b/>
                                <w:color w:val="FFFFFF" w:themeColor="background1"/>
                                <w:sz w:val="28"/>
                                <w:szCs w:val="28"/>
                              </w:rPr>
                              <w:t xml:space="preserve">Code of Health and Disability Services Consumers’ Rights | </w:t>
                            </w:r>
                          </w:p>
                          <w:p w14:paraId="61A2D639" w14:textId="77777777" w:rsidR="007F0140" w:rsidRPr="00485660" w:rsidRDefault="007F0140" w:rsidP="007F0140">
                            <w:pPr>
                              <w:shd w:val="clear" w:color="auto" w:fill="A6192E"/>
                              <w:spacing w:after="0"/>
                              <w:jc w:val="center"/>
                              <w:rPr>
                                <w:bCs/>
                                <w:color w:val="FFFFFF" w:themeColor="background1"/>
                                <w:sz w:val="28"/>
                                <w:szCs w:val="28"/>
                              </w:rPr>
                            </w:pPr>
                            <w:r w:rsidRPr="00485660">
                              <w:rPr>
                                <w:bCs/>
                                <w:color w:val="FFFFFF" w:themeColor="background1"/>
                                <w:sz w:val="28"/>
                                <w:szCs w:val="28"/>
                              </w:rPr>
                              <w:t xml:space="preserve">Ko te arotakenga o Te Ture Toihau Hauora, Hauātanga 1994 me te </w:t>
                            </w:r>
                          </w:p>
                          <w:p w14:paraId="3F012492" w14:textId="77777777" w:rsidR="007F0140" w:rsidRPr="00485660" w:rsidRDefault="007F0140" w:rsidP="007F0140">
                            <w:pPr>
                              <w:shd w:val="clear" w:color="auto" w:fill="A6192E"/>
                              <w:spacing w:after="0"/>
                              <w:jc w:val="center"/>
                              <w:rPr>
                                <w:b/>
                                <w:color w:val="FFFFFF" w:themeColor="background1"/>
                                <w:sz w:val="28"/>
                                <w:szCs w:val="28"/>
                              </w:rPr>
                            </w:pPr>
                            <w:r w:rsidRPr="00485660">
                              <w:rPr>
                                <w:bCs/>
                                <w:color w:val="FFFFFF" w:themeColor="background1"/>
                                <w:sz w:val="28"/>
                                <w:szCs w:val="28"/>
                              </w:rPr>
                              <w:t>Tikanga o ngā Mōtika Kiritaki mō ngā Ratonga Hauora, Hauātanga</w:t>
                            </w:r>
                            <w:r w:rsidRPr="00485660">
                              <w:rPr>
                                <w:b/>
                                <w:color w:val="FFFFFF" w:themeColor="background1"/>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6577B" id="_x0000_t202" coordsize="21600,21600" o:spt="202" path="m,l,21600r21600,l21600,xe">
                <v:stroke joinstyle="miter"/>
                <v:path gradientshapeok="t" o:connecttype="rect"/>
              </v:shapetype>
              <v:shape id="Text Box 2" o:spid="_x0000_s1026" type="#_x0000_t202" style="position:absolute;margin-left:-73.8pt;margin-top:16.9pt;width:617.4pt;height:233.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" fillcolor="#a6192e" stroked="f">
                <v:textbox>
                  <w:txbxContent>
                    <w:p w14:paraId="60EB2B76" w14:textId="4817BC3F" w:rsidR="007F0140" w:rsidRPr="00404CA0" w:rsidRDefault="007F0140" w:rsidP="007F0140">
                      <w:pPr>
                        <w:spacing w:before="720" w:after="0"/>
                        <w:jc w:val="center"/>
                        <w:rPr>
                          <w:rFonts w:cs="Aldhabi"/>
                          <w:b/>
                          <w:color w:val="FFFFFF" w:themeColor="background1"/>
                          <w:sz w:val="48"/>
                          <w:szCs w:val="48"/>
                        </w:rPr>
                      </w:pPr>
                      <w:r w:rsidRPr="00404CA0">
                        <w:rPr>
                          <w:rFonts w:cs="Aldhabi"/>
                          <w:b/>
                          <w:color w:val="FFFFFF" w:themeColor="background1"/>
                          <w:sz w:val="48"/>
                          <w:szCs w:val="48"/>
                        </w:rPr>
                        <w:t xml:space="preserve">Recommendations </w:t>
                      </w:r>
                      <w:r w:rsidR="00E500B6">
                        <w:rPr>
                          <w:rFonts w:cs="Aldhabi"/>
                          <w:b/>
                          <w:color w:val="FFFFFF" w:themeColor="background1"/>
                          <w:sz w:val="48"/>
                          <w:szCs w:val="48"/>
                        </w:rPr>
                        <w:t>Summary</w:t>
                      </w:r>
                      <w:r w:rsidRPr="00404CA0">
                        <w:rPr>
                          <w:rFonts w:cs="Aldhabi"/>
                          <w:b/>
                          <w:color w:val="FFFFFF" w:themeColor="background1"/>
                          <w:sz w:val="48"/>
                          <w:szCs w:val="48"/>
                        </w:rPr>
                        <w:t xml:space="preserve"> | </w:t>
                      </w:r>
                      <w:r w:rsidR="00A7603E" w:rsidRPr="00A7603E">
                        <w:rPr>
                          <w:rFonts w:cs="Aldhabi"/>
                          <w:b/>
                          <w:color w:val="FFFFFF" w:themeColor="background1"/>
                          <w:sz w:val="48"/>
                          <w:szCs w:val="48"/>
                        </w:rPr>
                        <w:t>Ng</w:t>
                      </w:r>
                      <w:r w:rsidR="00A7603E">
                        <w:rPr>
                          <w:rFonts w:cs="Aldhabi"/>
                          <w:b/>
                          <w:color w:val="FFFFFF" w:themeColor="background1"/>
                          <w:sz w:val="48"/>
                          <w:szCs w:val="48"/>
                        </w:rPr>
                        <w:t>ā</w:t>
                      </w:r>
                      <w:r w:rsidR="00A7603E" w:rsidRPr="00A7603E">
                        <w:rPr>
                          <w:rFonts w:cs="Aldhabi"/>
                          <w:b/>
                          <w:color w:val="FFFFFF" w:themeColor="background1"/>
                          <w:sz w:val="48"/>
                          <w:szCs w:val="48"/>
                        </w:rPr>
                        <w:t xml:space="preserve"> </w:t>
                      </w:r>
                      <w:r w:rsidR="00A7603E">
                        <w:rPr>
                          <w:rFonts w:cs="Aldhabi"/>
                          <w:b/>
                          <w:color w:val="FFFFFF" w:themeColor="background1"/>
                          <w:sz w:val="48"/>
                          <w:szCs w:val="48"/>
                        </w:rPr>
                        <w:t>Kō</w:t>
                      </w:r>
                      <w:r w:rsidR="00A7603E" w:rsidRPr="00A7603E">
                        <w:rPr>
                          <w:rFonts w:cs="Aldhabi"/>
                          <w:b/>
                          <w:color w:val="FFFFFF" w:themeColor="background1"/>
                          <w:sz w:val="48"/>
                          <w:szCs w:val="48"/>
                        </w:rPr>
                        <w:t>rero Whakar</w:t>
                      </w:r>
                      <w:r w:rsidR="00A7603E">
                        <w:rPr>
                          <w:rFonts w:cs="Aldhabi"/>
                          <w:b/>
                          <w:color w:val="FFFFFF" w:themeColor="background1"/>
                          <w:sz w:val="48"/>
                          <w:szCs w:val="48"/>
                        </w:rPr>
                        <w:t>ā</w:t>
                      </w:r>
                      <w:r w:rsidR="00A7603E" w:rsidRPr="00A7603E">
                        <w:rPr>
                          <w:rFonts w:cs="Aldhabi"/>
                          <w:b/>
                          <w:color w:val="FFFFFF" w:themeColor="background1"/>
                          <w:sz w:val="48"/>
                          <w:szCs w:val="48"/>
                        </w:rPr>
                        <w:t>popoto</w:t>
                      </w:r>
                    </w:p>
                    <w:p w14:paraId="38EF4920" w14:textId="77777777" w:rsidR="007F0140" w:rsidRDefault="007F0140" w:rsidP="007F0140">
                      <w:pPr>
                        <w:shd w:val="clear" w:color="auto" w:fill="A6192E"/>
                        <w:spacing w:before="480" w:after="0"/>
                        <w:jc w:val="center"/>
                        <w:rPr>
                          <w:b/>
                          <w:color w:val="FFFFFF" w:themeColor="background1"/>
                          <w:sz w:val="28"/>
                          <w:szCs w:val="28"/>
                        </w:rPr>
                      </w:pPr>
                      <w:r w:rsidRPr="00404CA0">
                        <w:rPr>
                          <w:b/>
                          <w:color w:val="FFFFFF" w:themeColor="background1"/>
                          <w:sz w:val="28"/>
                          <w:szCs w:val="28"/>
                        </w:rPr>
                        <w:t xml:space="preserve">Review of the Health and Disability Commissioner Act 1994 and the </w:t>
                      </w:r>
                    </w:p>
                    <w:p w14:paraId="4ED522BF" w14:textId="77777777" w:rsidR="007F0140" w:rsidRDefault="007F0140" w:rsidP="007F0140">
                      <w:pPr>
                        <w:shd w:val="clear" w:color="auto" w:fill="A6192E"/>
                        <w:spacing w:after="0"/>
                        <w:jc w:val="center"/>
                        <w:rPr>
                          <w:b/>
                          <w:color w:val="FFFFFF" w:themeColor="background1"/>
                          <w:sz w:val="28"/>
                          <w:szCs w:val="28"/>
                        </w:rPr>
                      </w:pPr>
                      <w:r w:rsidRPr="00404CA0">
                        <w:rPr>
                          <w:b/>
                          <w:color w:val="FFFFFF" w:themeColor="background1"/>
                          <w:sz w:val="28"/>
                          <w:szCs w:val="28"/>
                        </w:rPr>
                        <w:t xml:space="preserve">Code of Health and Disability Services Consumers’ Rights | </w:t>
                      </w:r>
                    </w:p>
                    <w:p w14:paraId="61A2D639" w14:textId="77777777" w:rsidR="007F0140" w:rsidRPr="00485660" w:rsidRDefault="007F0140" w:rsidP="007F0140">
                      <w:pPr>
                        <w:shd w:val="clear" w:color="auto" w:fill="A6192E"/>
                        <w:spacing w:after="0"/>
                        <w:jc w:val="center"/>
                        <w:rPr>
                          <w:bCs/>
                          <w:color w:val="FFFFFF" w:themeColor="background1"/>
                          <w:sz w:val="28"/>
                          <w:szCs w:val="28"/>
                        </w:rPr>
                      </w:pPr>
                      <w:r w:rsidRPr="00485660">
                        <w:rPr>
                          <w:bCs/>
                          <w:color w:val="FFFFFF" w:themeColor="background1"/>
                          <w:sz w:val="28"/>
                          <w:szCs w:val="28"/>
                        </w:rPr>
                        <w:t xml:space="preserve">Ko te arotakenga o Te Ture Toihau Hauora, Hauātanga 1994 me te </w:t>
                      </w:r>
                    </w:p>
                    <w:p w14:paraId="3F012492" w14:textId="77777777" w:rsidR="007F0140" w:rsidRPr="00485660" w:rsidRDefault="007F0140" w:rsidP="007F0140">
                      <w:pPr>
                        <w:shd w:val="clear" w:color="auto" w:fill="A6192E"/>
                        <w:spacing w:after="0"/>
                        <w:jc w:val="center"/>
                        <w:rPr>
                          <w:b/>
                          <w:color w:val="FFFFFF" w:themeColor="background1"/>
                          <w:sz w:val="28"/>
                          <w:szCs w:val="28"/>
                        </w:rPr>
                      </w:pPr>
                      <w:r w:rsidRPr="00485660">
                        <w:rPr>
                          <w:bCs/>
                          <w:color w:val="FFFFFF" w:themeColor="background1"/>
                          <w:sz w:val="28"/>
                          <w:szCs w:val="28"/>
                        </w:rPr>
                        <w:t>Tikanga o ngā Mōtika Kiritaki mō ngā Ratonga Hauora, Hauātanga</w:t>
                      </w:r>
                      <w:r w:rsidRPr="00485660">
                        <w:rPr>
                          <w:b/>
                          <w:color w:val="FFFFFF" w:themeColor="background1"/>
                          <w:sz w:val="28"/>
                          <w:szCs w:val="28"/>
                        </w:rPr>
                        <w:t xml:space="preserve"> </w:t>
                      </w:r>
                    </w:p>
                  </w:txbxContent>
                </v:textbox>
              </v:shape>
            </w:pict>
          </mc:Fallback>
        </mc:AlternateContent>
      </w:r>
    </w:p>
    <w:p w14:paraId="0F491C72" w14:textId="77777777" w:rsidR="007F0140" w:rsidRDefault="007F0140" w:rsidP="007F0140"/>
    <w:p w14:paraId="02D4ED8D" w14:textId="77777777" w:rsidR="007F0140" w:rsidRDefault="007F0140" w:rsidP="007F0140"/>
    <w:p w14:paraId="3DA9ED2D" w14:textId="77777777" w:rsidR="007F0140" w:rsidRDefault="007F0140" w:rsidP="007F0140"/>
    <w:p w14:paraId="3AFC9E9C" w14:textId="77777777" w:rsidR="007F0140" w:rsidRDefault="007F0140" w:rsidP="007F0140"/>
    <w:p w14:paraId="085D8730" w14:textId="77777777" w:rsidR="007F0140" w:rsidRDefault="007F0140" w:rsidP="007F0140"/>
    <w:p w14:paraId="0717FEFA" w14:textId="77777777" w:rsidR="007F0140" w:rsidRDefault="007F0140" w:rsidP="007F0140"/>
    <w:p w14:paraId="3E9D7BB0" w14:textId="77777777" w:rsidR="007F0140" w:rsidRDefault="007F0140" w:rsidP="007F0140"/>
    <w:p w14:paraId="3A9ED1A0" w14:textId="77777777" w:rsidR="007F0140" w:rsidRDefault="007F0140" w:rsidP="007F0140"/>
    <w:p w14:paraId="79DCB3EC" w14:textId="77777777" w:rsidR="007F0140" w:rsidRDefault="007F0140" w:rsidP="007F0140"/>
    <w:p w14:paraId="22EF6BE8" w14:textId="77777777" w:rsidR="007F0140" w:rsidRDefault="007F0140" w:rsidP="007F0140"/>
    <w:p w14:paraId="560B70D5" w14:textId="54105CA9" w:rsidR="007F0140" w:rsidRPr="00687ED5" w:rsidRDefault="000C1C84" w:rsidP="007F0140">
      <w:pPr>
        <w:jc w:val="center"/>
      </w:pPr>
      <w:r>
        <w:rPr>
          <w:b/>
          <w:sz w:val="28"/>
          <w:szCs w:val="28"/>
        </w:rPr>
        <w:t>March</w:t>
      </w:r>
      <w:r w:rsidR="007F0140" w:rsidRPr="00E52EBB">
        <w:rPr>
          <w:b/>
          <w:sz w:val="28"/>
          <w:szCs w:val="28"/>
        </w:rPr>
        <w:t xml:space="preserve"> 202</w:t>
      </w:r>
      <w:r>
        <w:rPr>
          <w:b/>
          <w:sz w:val="28"/>
          <w:szCs w:val="28"/>
        </w:rPr>
        <w:t>5</w:t>
      </w:r>
      <w:r w:rsidR="007F0140" w:rsidRPr="00E52EBB">
        <w:rPr>
          <w:b/>
          <w:sz w:val="28"/>
          <w:szCs w:val="28"/>
        </w:rPr>
        <w:t xml:space="preserve"> | </w:t>
      </w:r>
      <w:r w:rsidR="00DB4E85">
        <w:rPr>
          <w:b/>
          <w:sz w:val="28"/>
          <w:szCs w:val="28"/>
        </w:rPr>
        <w:t>Pout</w:t>
      </w:r>
      <w:r w:rsidR="001B7EC9">
        <w:rPr>
          <w:b/>
          <w:sz w:val="28"/>
          <w:szCs w:val="28"/>
        </w:rPr>
        <w:t>ū-te-rangi</w:t>
      </w:r>
      <w:r w:rsidR="007F0140" w:rsidRPr="00E52EBB">
        <w:rPr>
          <w:b/>
          <w:sz w:val="28"/>
          <w:szCs w:val="28"/>
        </w:rPr>
        <w:t xml:space="preserve"> 202</w:t>
      </w:r>
      <w:r w:rsidR="001B7EC9">
        <w:rPr>
          <w:b/>
          <w:sz w:val="28"/>
          <w:szCs w:val="28"/>
        </w:rPr>
        <w:t>5</w:t>
      </w:r>
    </w:p>
    <w:p w14:paraId="0FF47525" w14:textId="3CB7A3CD" w:rsidR="007F0140" w:rsidRDefault="007F0140" w:rsidP="007F0140">
      <w:r>
        <w:rPr>
          <w:rFonts w:ascii="Calibri" w:eastAsia="Calibri" w:hAnsi="Calibri"/>
          <w:b/>
          <w:noProof/>
          <w:color w:val="000000"/>
          <w:sz w:val="44"/>
          <w:lang w:eastAsia="en-NZ"/>
        </w:rPr>
        <w:drawing>
          <wp:anchor distT="0" distB="0" distL="114300" distR="114300" simplePos="0" relativeHeight="251658243" behindDoc="0" locked="0" layoutInCell="0" allowOverlap="1" wp14:anchorId="7E70B21E" wp14:editId="31F5D79B">
            <wp:simplePos x="0" y="0"/>
            <wp:positionH relativeFrom="page">
              <wp:posOffset>2979420</wp:posOffset>
            </wp:positionH>
            <wp:positionV relativeFrom="margin">
              <wp:posOffset>7603490</wp:posOffset>
            </wp:positionV>
            <wp:extent cx="1814400" cy="990000"/>
            <wp:effectExtent l="0" t="0" r="0" b="0"/>
            <wp:wrapSquare wrapText="bothSides"/>
            <wp:docPr id="1434923720" name="Picture 1434923720" descr="A red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923720" name="Picture 1434923720" descr="A red logo with a black background&#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814400" cy="990000"/>
                    </a:xfrm>
                    <a:prstGeom prst="rect">
                      <a:avLst/>
                    </a:prstGeom>
                    <a:noFill/>
                  </pic:spPr>
                </pic:pic>
              </a:graphicData>
            </a:graphic>
            <wp14:sizeRelH relativeFrom="page">
              <wp14:pctWidth>0</wp14:pctWidth>
            </wp14:sizeRelH>
            <wp14:sizeRelV relativeFrom="page">
              <wp14:pctHeight>0</wp14:pctHeight>
            </wp14:sizeRelV>
          </wp:anchor>
        </w:drawing>
      </w:r>
    </w:p>
    <w:p w14:paraId="303ED725" w14:textId="7FA01E4E" w:rsidR="007F0140" w:rsidRDefault="007F0140" w:rsidP="007F0140">
      <w:r>
        <w:rPr>
          <w:noProof/>
        </w:rPr>
        <w:drawing>
          <wp:anchor distT="0" distB="0" distL="114300" distR="114300" simplePos="0" relativeHeight="251658240" behindDoc="0" locked="0" layoutInCell="1" allowOverlap="1" wp14:anchorId="4FE6B644" wp14:editId="5D4381FC">
            <wp:simplePos x="0" y="0"/>
            <wp:positionH relativeFrom="column">
              <wp:posOffset>8522335</wp:posOffset>
            </wp:positionH>
            <wp:positionV relativeFrom="paragraph">
              <wp:posOffset>501650</wp:posOffset>
            </wp:positionV>
            <wp:extent cx="5943600" cy="316230"/>
            <wp:effectExtent l="0" t="0" r="0" b="7620"/>
            <wp:wrapNone/>
            <wp:docPr id="629398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506297"/>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5943600" cy="316230"/>
                    </a:xfrm>
                    <a:prstGeom prst="rect">
                      <a:avLst/>
                    </a:prstGeom>
                    <a:noFill/>
                  </pic:spPr>
                </pic:pic>
              </a:graphicData>
            </a:graphic>
            <wp14:sizeRelH relativeFrom="page">
              <wp14:pctWidth>0</wp14:pctWidth>
            </wp14:sizeRelH>
            <wp14:sizeRelV relativeFrom="page">
              <wp14:pctHeight>0</wp14:pctHeight>
            </wp14:sizeRelV>
          </wp:anchor>
        </w:drawing>
      </w:r>
    </w:p>
    <w:p w14:paraId="1F76B46B" w14:textId="77777777" w:rsidR="00824AC9" w:rsidRDefault="00824AC9">
      <w:pPr>
        <w:rPr>
          <w:rFonts w:ascii="Aptos" w:eastAsiaTheme="majorEastAsia" w:hAnsi="Aptos" w:cs="Arial"/>
          <w:b/>
          <w:bCs/>
          <w:color w:val="A6192E"/>
          <w:sz w:val="28"/>
          <w:szCs w:val="48"/>
          <w:lang w:val="en-NZ" w:eastAsia="en-US"/>
        </w:rPr>
      </w:pPr>
    </w:p>
    <w:p w14:paraId="1CAEA74D" w14:textId="63DED1E4" w:rsidR="00BE1A27" w:rsidRPr="00BD34C6" w:rsidRDefault="00BE1A27">
      <w:pPr>
        <w:rPr>
          <w:rFonts w:ascii="Aptos" w:eastAsiaTheme="majorEastAsia" w:hAnsi="Aptos" w:cs="Arial"/>
          <w:b/>
          <w:bCs/>
          <w:color w:val="A6192E"/>
          <w:sz w:val="32"/>
          <w:szCs w:val="32"/>
          <w:lang w:val="en-NZ" w:eastAsia="en-US"/>
        </w:rPr>
      </w:pPr>
      <w:r w:rsidRPr="00BD34C6">
        <w:rPr>
          <w:rFonts w:ascii="Aptos" w:eastAsiaTheme="majorEastAsia" w:hAnsi="Aptos" w:cs="Arial"/>
          <w:b/>
          <w:bCs/>
          <w:color w:val="A6192E"/>
          <w:sz w:val="32"/>
          <w:szCs w:val="32"/>
          <w:lang w:val="en-NZ" w:eastAsia="en-US"/>
        </w:rPr>
        <w:lastRenderedPageBreak/>
        <w:t xml:space="preserve">About this </w:t>
      </w:r>
      <w:r w:rsidR="0048705F">
        <w:rPr>
          <w:rFonts w:ascii="Aptos" w:eastAsiaTheme="majorEastAsia" w:hAnsi="Aptos" w:cs="Arial"/>
          <w:b/>
          <w:bCs/>
          <w:color w:val="A6192E"/>
          <w:sz w:val="32"/>
          <w:szCs w:val="32"/>
          <w:lang w:val="en-NZ" w:eastAsia="en-US"/>
        </w:rPr>
        <w:t>report</w:t>
      </w:r>
    </w:p>
    <w:p w14:paraId="7C012111" w14:textId="22093D49" w:rsidR="00B574AB" w:rsidRDefault="00DD040E" w:rsidP="000E3543">
      <w:pPr>
        <w:spacing w:after="360" w:line="278" w:lineRule="auto"/>
      </w:pPr>
      <w:r>
        <w:t xml:space="preserve">This document is a companion </w:t>
      </w:r>
      <w:r w:rsidR="000B3745">
        <w:t xml:space="preserve">to </w:t>
      </w:r>
      <w:r w:rsidRPr="009C2A17">
        <w:rPr>
          <w:i/>
          <w:iCs/>
        </w:rPr>
        <w:t>Recommendations Report | He Tuhinga Taunaki. Review of the Health and Disability Commissioner Act 1994 and the Code of Health and Disability Services Consumers’ Rights</w:t>
      </w:r>
      <w:r w:rsidRPr="002A3374">
        <w:rPr>
          <w:i/>
          <w:iCs/>
        </w:rPr>
        <w:t>.</w:t>
      </w:r>
      <w:r>
        <w:t xml:space="preserve"> </w:t>
      </w:r>
      <w:r w:rsidR="000B3745">
        <w:t xml:space="preserve">It </w:t>
      </w:r>
      <w:r w:rsidR="00AD4B31">
        <w:t xml:space="preserve">contains all the recommendations HDC made </w:t>
      </w:r>
      <w:r w:rsidR="006D2192">
        <w:t>following</w:t>
      </w:r>
      <w:r w:rsidR="00CC534A">
        <w:t xml:space="preserve"> its review of the Act and the Code. </w:t>
      </w:r>
    </w:p>
    <w:p w14:paraId="1DD059A6" w14:textId="40FB1929" w:rsidR="00BE1A27" w:rsidRDefault="00DD040E" w:rsidP="000E3543">
      <w:pPr>
        <w:spacing w:after="360" w:line="278" w:lineRule="auto"/>
      </w:pPr>
      <w:r>
        <w:t xml:space="preserve">You can find the full report at review.hdc.org.nz.   </w:t>
      </w:r>
    </w:p>
    <w:p w14:paraId="17EF2C03" w14:textId="489DF734" w:rsidR="000E3543" w:rsidRPr="000E3543" w:rsidRDefault="000E3543" w:rsidP="000E3543">
      <w:pPr>
        <w:spacing w:after="360" w:line="278" w:lineRule="auto"/>
      </w:pPr>
      <w:r>
        <w:t>Where page numbers are listed, this indicates where you can find th</w:t>
      </w:r>
      <w:r w:rsidR="00BD34C6">
        <w:t>e relevant</w:t>
      </w:r>
      <w:r>
        <w:t xml:space="preserve"> section in the </w:t>
      </w:r>
      <w:r w:rsidR="00B574AB" w:rsidRPr="009C2A17">
        <w:rPr>
          <w:i/>
          <w:iCs/>
        </w:rPr>
        <w:t>Recommendations Re</w:t>
      </w:r>
      <w:r w:rsidR="00B574AB">
        <w:rPr>
          <w:i/>
          <w:iCs/>
        </w:rPr>
        <w:t>port</w:t>
      </w:r>
      <w:r>
        <w:t xml:space="preserve">. </w:t>
      </w:r>
    </w:p>
    <w:p w14:paraId="2C52D950" w14:textId="77777777" w:rsidR="00BE1A27" w:rsidRDefault="00BE1A27">
      <w:pPr>
        <w:rPr>
          <w:rFonts w:ascii="Aptos" w:eastAsiaTheme="majorEastAsia" w:hAnsi="Aptos" w:cs="Arial"/>
          <w:b/>
          <w:bCs/>
          <w:color w:val="A6192E"/>
          <w:sz w:val="28"/>
          <w:szCs w:val="48"/>
          <w:lang w:val="en-NZ" w:eastAsia="en-US"/>
        </w:rPr>
      </w:pPr>
    </w:p>
    <w:p w14:paraId="00041C90" w14:textId="77777777" w:rsidR="00BE1A27" w:rsidRDefault="00BE1A27">
      <w:pPr>
        <w:rPr>
          <w:rFonts w:ascii="Aptos" w:eastAsiaTheme="majorEastAsia" w:hAnsi="Aptos" w:cs="Arial"/>
          <w:b/>
          <w:bCs/>
          <w:color w:val="A6192E"/>
          <w:sz w:val="28"/>
          <w:szCs w:val="48"/>
          <w:lang w:val="en-NZ" w:eastAsia="en-US"/>
        </w:rPr>
      </w:pPr>
    </w:p>
    <w:p w14:paraId="7AB344B6" w14:textId="77777777" w:rsidR="00BE1A27" w:rsidRDefault="00BE1A27">
      <w:pPr>
        <w:rPr>
          <w:rFonts w:ascii="Aptos" w:eastAsiaTheme="majorEastAsia" w:hAnsi="Aptos" w:cs="Arial"/>
          <w:b/>
          <w:bCs/>
          <w:color w:val="A6192E"/>
          <w:sz w:val="28"/>
          <w:szCs w:val="48"/>
          <w:lang w:val="en-NZ" w:eastAsia="en-US"/>
        </w:rPr>
      </w:pPr>
    </w:p>
    <w:p w14:paraId="5B9215E2" w14:textId="77777777" w:rsidR="00BE1A27" w:rsidRDefault="00BE1A27">
      <w:pPr>
        <w:rPr>
          <w:rFonts w:ascii="Aptos" w:eastAsiaTheme="majorEastAsia" w:hAnsi="Aptos" w:cs="Arial"/>
          <w:b/>
          <w:bCs/>
          <w:color w:val="A6192E"/>
          <w:sz w:val="28"/>
          <w:szCs w:val="48"/>
          <w:lang w:val="en-NZ" w:eastAsia="en-US"/>
        </w:rPr>
      </w:pPr>
    </w:p>
    <w:p w14:paraId="5877D9D4" w14:textId="77777777" w:rsidR="00BE1A27" w:rsidRDefault="00BE1A27">
      <w:pPr>
        <w:rPr>
          <w:rFonts w:ascii="Aptos" w:eastAsiaTheme="majorEastAsia" w:hAnsi="Aptos" w:cs="Arial"/>
          <w:b/>
          <w:bCs/>
          <w:color w:val="A6192E"/>
          <w:sz w:val="28"/>
          <w:szCs w:val="48"/>
          <w:lang w:val="en-NZ" w:eastAsia="en-US"/>
        </w:rPr>
      </w:pPr>
    </w:p>
    <w:p w14:paraId="73C6377A" w14:textId="77777777" w:rsidR="00BE1A27" w:rsidRDefault="00BE1A27">
      <w:pPr>
        <w:rPr>
          <w:rFonts w:ascii="Aptos" w:eastAsiaTheme="majorEastAsia" w:hAnsi="Aptos" w:cs="Arial"/>
          <w:b/>
          <w:bCs/>
          <w:color w:val="A6192E"/>
          <w:sz w:val="28"/>
          <w:szCs w:val="48"/>
          <w:lang w:val="en-NZ" w:eastAsia="en-US"/>
        </w:rPr>
      </w:pPr>
    </w:p>
    <w:p w14:paraId="5D09046D" w14:textId="77777777" w:rsidR="00BE1A27" w:rsidRDefault="00BE1A27">
      <w:pPr>
        <w:rPr>
          <w:rFonts w:ascii="Aptos" w:eastAsiaTheme="majorEastAsia" w:hAnsi="Aptos" w:cs="Arial"/>
          <w:b/>
          <w:bCs/>
          <w:color w:val="A6192E"/>
          <w:sz w:val="28"/>
          <w:szCs w:val="48"/>
          <w:lang w:val="en-NZ" w:eastAsia="en-US"/>
        </w:rPr>
      </w:pPr>
    </w:p>
    <w:p w14:paraId="7DAAC3F6" w14:textId="77777777" w:rsidR="00BE1A27" w:rsidRDefault="00BE1A27">
      <w:pPr>
        <w:rPr>
          <w:rFonts w:ascii="Aptos" w:eastAsiaTheme="majorEastAsia" w:hAnsi="Aptos" w:cs="Arial"/>
          <w:b/>
          <w:bCs/>
          <w:color w:val="A6192E"/>
          <w:sz w:val="28"/>
          <w:szCs w:val="48"/>
          <w:lang w:val="en-NZ" w:eastAsia="en-US"/>
        </w:rPr>
      </w:pPr>
    </w:p>
    <w:p w14:paraId="1EB8E3F6" w14:textId="77777777" w:rsidR="00BE1A27" w:rsidRDefault="00BE1A27">
      <w:pPr>
        <w:rPr>
          <w:rFonts w:ascii="Aptos" w:eastAsiaTheme="majorEastAsia" w:hAnsi="Aptos" w:cs="Arial"/>
          <w:b/>
          <w:bCs/>
          <w:color w:val="A6192E"/>
          <w:sz w:val="28"/>
          <w:szCs w:val="48"/>
          <w:lang w:val="en-NZ" w:eastAsia="en-US"/>
        </w:rPr>
      </w:pPr>
    </w:p>
    <w:p w14:paraId="55AE3FDA" w14:textId="77777777" w:rsidR="00BE1A27" w:rsidRDefault="00BE1A27">
      <w:pPr>
        <w:rPr>
          <w:rFonts w:ascii="Aptos" w:eastAsiaTheme="majorEastAsia" w:hAnsi="Aptos" w:cs="Arial"/>
          <w:b/>
          <w:bCs/>
          <w:color w:val="A6192E"/>
          <w:sz w:val="28"/>
          <w:szCs w:val="48"/>
          <w:lang w:val="en-NZ" w:eastAsia="en-US"/>
        </w:rPr>
      </w:pPr>
    </w:p>
    <w:p w14:paraId="29823D9B" w14:textId="77777777" w:rsidR="00BE1A27" w:rsidRDefault="00BE1A27">
      <w:pPr>
        <w:rPr>
          <w:rFonts w:ascii="Aptos" w:eastAsiaTheme="majorEastAsia" w:hAnsi="Aptos" w:cs="Arial"/>
          <w:b/>
          <w:bCs/>
          <w:color w:val="A6192E"/>
          <w:sz w:val="28"/>
          <w:szCs w:val="48"/>
          <w:lang w:val="en-NZ" w:eastAsia="en-US"/>
        </w:rPr>
      </w:pPr>
    </w:p>
    <w:p w14:paraId="0F34FD3C" w14:textId="77777777" w:rsidR="00BE1A27" w:rsidRDefault="00BE1A27">
      <w:pPr>
        <w:rPr>
          <w:rFonts w:ascii="Aptos" w:eastAsiaTheme="majorEastAsia" w:hAnsi="Aptos" w:cs="Arial"/>
          <w:b/>
          <w:bCs/>
          <w:color w:val="A6192E"/>
          <w:sz w:val="28"/>
          <w:szCs w:val="48"/>
          <w:lang w:val="en-NZ" w:eastAsia="en-US"/>
        </w:rPr>
      </w:pPr>
    </w:p>
    <w:p w14:paraId="7F6E00E5" w14:textId="77777777" w:rsidR="00BE1A27" w:rsidRDefault="00BE1A27">
      <w:pPr>
        <w:rPr>
          <w:rFonts w:ascii="Aptos" w:eastAsiaTheme="majorEastAsia" w:hAnsi="Aptos" w:cs="Arial"/>
          <w:b/>
          <w:bCs/>
          <w:color w:val="A6192E"/>
          <w:sz w:val="28"/>
          <w:szCs w:val="48"/>
          <w:lang w:val="en-NZ" w:eastAsia="en-US"/>
        </w:rPr>
      </w:pPr>
    </w:p>
    <w:p w14:paraId="4614D167" w14:textId="77777777" w:rsidR="00BE1A27" w:rsidRDefault="00BE1A27">
      <w:pPr>
        <w:rPr>
          <w:rFonts w:ascii="Aptos" w:eastAsiaTheme="majorEastAsia" w:hAnsi="Aptos" w:cs="Arial"/>
          <w:b/>
          <w:bCs/>
          <w:color w:val="A6192E"/>
          <w:sz w:val="28"/>
          <w:szCs w:val="48"/>
          <w:lang w:val="en-NZ" w:eastAsia="en-US"/>
        </w:rPr>
      </w:pPr>
    </w:p>
    <w:p w14:paraId="79FAFD9A" w14:textId="77777777" w:rsidR="00BE1A27" w:rsidRDefault="00BE1A27">
      <w:pPr>
        <w:rPr>
          <w:rFonts w:ascii="Aptos" w:eastAsiaTheme="majorEastAsia" w:hAnsi="Aptos" w:cs="Arial"/>
          <w:b/>
          <w:bCs/>
          <w:color w:val="A6192E"/>
          <w:sz w:val="28"/>
          <w:szCs w:val="48"/>
          <w:lang w:val="en-NZ" w:eastAsia="en-US"/>
        </w:rPr>
      </w:pPr>
    </w:p>
    <w:p w14:paraId="297DBB47" w14:textId="77777777" w:rsidR="00BE1A27" w:rsidRDefault="00BE1A27">
      <w:pPr>
        <w:rPr>
          <w:rFonts w:ascii="Aptos" w:eastAsiaTheme="majorEastAsia" w:hAnsi="Aptos" w:cs="Arial"/>
          <w:b/>
          <w:bCs/>
          <w:color w:val="A6192E"/>
          <w:sz w:val="28"/>
          <w:szCs w:val="48"/>
          <w:lang w:val="en-NZ" w:eastAsia="en-US"/>
        </w:rPr>
      </w:pPr>
    </w:p>
    <w:p w14:paraId="7F990558" w14:textId="380A6F3D" w:rsidR="00F7565D" w:rsidRDefault="00F7565D">
      <w:r w:rsidRPr="0008683F">
        <w:rPr>
          <w:rFonts w:ascii="Aptos" w:eastAsiaTheme="majorEastAsia" w:hAnsi="Aptos" w:cs="Arial"/>
          <w:b/>
          <w:bCs/>
          <w:color w:val="A6192E"/>
          <w:sz w:val="28"/>
          <w:szCs w:val="48"/>
          <w:lang w:val="en-NZ" w:eastAsia="en-US"/>
        </w:rPr>
        <w:lastRenderedPageBreak/>
        <w:t>Recommendations to the</w:t>
      </w:r>
      <w:r>
        <w:t xml:space="preserve"> </w:t>
      </w:r>
      <w:r w:rsidR="00C325DB" w:rsidRPr="0008683F">
        <w:rPr>
          <w:rFonts w:ascii="Aptos" w:eastAsiaTheme="majorEastAsia" w:hAnsi="Aptos" w:cs="Arial"/>
          <w:b/>
          <w:bCs/>
          <w:color w:val="A6192E"/>
          <w:sz w:val="28"/>
          <w:szCs w:val="48"/>
          <w:lang w:val="en-NZ" w:eastAsia="en-US"/>
        </w:rPr>
        <w:t>Minister of Health</w:t>
      </w:r>
      <w:r w:rsidR="00C325DB">
        <w:t xml:space="preserve"> </w:t>
      </w:r>
    </w:p>
    <w:tbl>
      <w:tblPr>
        <w:tblStyle w:val="TableGrid"/>
        <w:tblW w:w="935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1"/>
      </w:tblGrid>
      <w:tr w:rsidR="00F001CF" w14:paraId="6E9380FA" w14:textId="77777777" w:rsidTr="00381E2E">
        <w:tc>
          <w:tcPr>
            <w:tcW w:w="9351" w:type="dxa"/>
          </w:tcPr>
          <w:p w14:paraId="5D336853" w14:textId="71274B89" w:rsidR="00F001CF" w:rsidRPr="00B05454" w:rsidRDefault="00F001CF" w:rsidP="00533593">
            <w:pPr>
              <w:pStyle w:val="ListParagraph"/>
              <w:numPr>
                <w:ilvl w:val="0"/>
                <w:numId w:val="1"/>
              </w:numPr>
              <w:tabs>
                <w:tab w:val="left" w:pos="426"/>
              </w:tabs>
              <w:spacing w:before="200" w:after="120"/>
              <w:ind w:left="425" w:hanging="425"/>
              <w:contextualSpacing w:val="0"/>
              <w:rPr>
                <w:b/>
              </w:rPr>
            </w:pPr>
            <w:r w:rsidRPr="7474882F">
              <w:rPr>
                <w:b/>
              </w:rPr>
              <w:t xml:space="preserve">Note </w:t>
            </w:r>
            <w:r>
              <w:t xml:space="preserve">that </w:t>
            </w:r>
            <w:r w:rsidRPr="7474882F">
              <w:t>the review has identified opportunities to better promote and protect consumer rights through changes to both law and practice, particularly to improve complaint</w:t>
            </w:r>
            <w:r>
              <w:t>s</w:t>
            </w:r>
            <w:r w:rsidRPr="7474882F">
              <w:t xml:space="preserve"> processes, support good practice, and improve responsiveness to the needs of Pae Ora populations</w:t>
            </w:r>
            <w:r>
              <w:t xml:space="preserve"> —</w:t>
            </w:r>
            <w:r w:rsidRPr="7474882F">
              <w:t xml:space="preserve"> Māori, tāngata whaikaha</w:t>
            </w:r>
            <w:r>
              <w:t xml:space="preserve"> </w:t>
            </w:r>
            <w:r w:rsidRPr="7474882F">
              <w:t>|</w:t>
            </w:r>
            <w:r>
              <w:t xml:space="preserve"> </w:t>
            </w:r>
            <w:r w:rsidRPr="7474882F">
              <w:t>disabled people</w:t>
            </w:r>
            <w:r>
              <w:t>,</w:t>
            </w:r>
            <w:r w:rsidRPr="7474882F">
              <w:t xml:space="preserve"> and Pacific peoples.</w:t>
            </w:r>
          </w:p>
        </w:tc>
      </w:tr>
      <w:tr w:rsidR="00F001CF" w14:paraId="0053ECCB" w14:textId="77777777" w:rsidTr="00381E2E">
        <w:tc>
          <w:tcPr>
            <w:tcW w:w="9351" w:type="dxa"/>
          </w:tcPr>
          <w:p w14:paraId="2BC7DF7F" w14:textId="32F7D6FF" w:rsidR="00F001CF" w:rsidRPr="00B05454" w:rsidRDefault="00F001CF" w:rsidP="00533593">
            <w:pPr>
              <w:pStyle w:val="ListParagraph"/>
              <w:numPr>
                <w:ilvl w:val="0"/>
                <w:numId w:val="1"/>
              </w:numPr>
              <w:tabs>
                <w:tab w:val="left" w:pos="426"/>
              </w:tabs>
              <w:spacing w:before="200" w:after="120"/>
              <w:ind w:left="425" w:hanging="425"/>
              <w:contextualSpacing w:val="0"/>
              <w:rPr>
                <w:b/>
              </w:rPr>
            </w:pPr>
            <w:r w:rsidRPr="420C3657">
              <w:rPr>
                <w:b/>
              </w:rPr>
              <w:t xml:space="preserve">Note </w:t>
            </w:r>
            <w:r w:rsidRPr="420C3657">
              <w:t xml:space="preserve">that changes to the Health and Disability Commissioner Act 1994 (the Act) and the Code of Health and Disability Services Consumer’s Rights (the Code) should be progressed in </w:t>
            </w:r>
            <w:r w:rsidRPr="06C00639">
              <w:t xml:space="preserve">parallel </w:t>
            </w:r>
            <w:r>
              <w:t>with</w:t>
            </w:r>
            <w:r w:rsidRPr="420C3657">
              <w:t xml:space="preserve"> changes to the Health Practitioners Competence Assurance Act 2003 (HPCAA)</w:t>
            </w:r>
            <w:r>
              <w:t xml:space="preserve">, </w:t>
            </w:r>
            <w:r w:rsidRPr="420C3657">
              <w:t>the Mental Health Bill</w:t>
            </w:r>
            <w:r>
              <w:t>, Pae Tū: The Māori Health Strategy</w:t>
            </w:r>
            <w:r w:rsidRPr="420C3657">
              <w:t>, the Law Commission’s review of adult decision-making capacity law</w:t>
            </w:r>
            <w:r>
              <w:t>, and the Government’s response to the recommendations made by the Inquiry into Abuse in Care</w:t>
            </w:r>
            <w:r w:rsidRPr="420C3657">
              <w:t xml:space="preserve">. </w:t>
            </w:r>
          </w:p>
        </w:tc>
      </w:tr>
      <w:tr w:rsidR="00F001CF" w14:paraId="642AE2B1" w14:textId="77777777" w:rsidTr="00381E2E">
        <w:tc>
          <w:tcPr>
            <w:tcW w:w="9351" w:type="dxa"/>
          </w:tcPr>
          <w:p w14:paraId="2EAFC8F1" w14:textId="654A0A38" w:rsidR="00F001CF" w:rsidRPr="00B05454" w:rsidRDefault="00F001CF" w:rsidP="00533593">
            <w:pPr>
              <w:pStyle w:val="ListParagraph"/>
              <w:numPr>
                <w:ilvl w:val="0"/>
                <w:numId w:val="1"/>
              </w:numPr>
              <w:tabs>
                <w:tab w:val="left" w:pos="426"/>
              </w:tabs>
              <w:spacing w:before="200" w:after="120"/>
              <w:ind w:left="425" w:hanging="425"/>
              <w:rPr>
                <w:b/>
              </w:rPr>
            </w:pPr>
            <w:r w:rsidRPr="2CA6B622">
              <w:rPr>
                <w:b/>
              </w:rPr>
              <w:t>Agree</w:t>
            </w:r>
            <w:r w:rsidRPr="2CA6B622">
              <w:t xml:space="preserve"> to put the development of a bill to update the Act in line with this report on the Ministry of Health’s work programme and the Government Legislation Programme, and progress in parallel with the </w:t>
            </w:r>
            <w:r w:rsidRPr="35BB9E97">
              <w:t>review of the</w:t>
            </w:r>
            <w:r w:rsidRPr="2CA6B622">
              <w:t xml:space="preserve"> HPCCA and Mental Health </w:t>
            </w:r>
            <w:r>
              <w:t>B</w:t>
            </w:r>
            <w:r w:rsidRPr="2CA6B622">
              <w:t>ill</w:t>
            </w:r>
            <w:r>
              <w:t>.</w:t>
            </w:r>
          </w:p>
        </w:tc>
      </w:tr>
      <w:tr w:rsidR="00F001CF" w14:paraId="2CAA2689" w14:textId="77777777" w:rsidTr="00381E2E">
        <w:tc>
          <w:tcPr>
            <w:tcW w:w="9351" w:type="dxa"/>
          </w:tcPr>
          <w:p w14:paraId="5C478168" w14:textId="74ADF858" w:rsidR="00F001CF" w:rsidRPr="00956F08" w:rsidRDefault="00F001CF" w:rsidP="00533593">
            <w:pPr>
              <w:pStyle w:val="ListParagraph"/>
              <w:numPr>
                <w:ilvl w:val="0"/>
                <w:numId w:val="1"/>
              </w:numPr>
              <w:spacing w:before="200" w:after="120"/>
              <w:ind w:left="425" w:hanging="425"/>
              <w:contextualSpacing w:val="0"/>
              <w:rPr>
                <w:b/>
                <w:bCs/>
              </w:rPr>
            </w:pPr>
            <w:r w:rsidRPr="0050192F">
              <w:rPr>
                <w:b/>
                <w:bCs/>
              </w:rPr>
              <w:t xml:space="preserve">Direct </w:t>
            </w:r>
            <w:r w:rsidRPr="0050192F">
              <w:t>the Ministry</w:t>
            </w:r>
            <w:r>
              <w:t xml:space="preserve"> of Health</w:t>
            </w:r>
            <w:r w:rsidRPr="0050192F">
              <w:t xml:space="preserve"> to establish a technical working group to refine the detail of proposed changes to the Act that includes </w:t>
            </w:r>
            <w:r>
              <w:t>community and provider</w:t>
            </w:r>
            <w:r w:rsidRPr="0050192F">
              <w:t xml:space="preserve"> representatives, and HDC as an independent advisor.</w:t>
            </w:r>
          </w:p>
        </w:tc>
      </w:tr>
      <w:tr w:rsidR="00F001CF" w14:paraId="6071D242" w14:textId="77777777" w:rsidTr="00381E2E">
        <w:trPr>
          <w:trHeight w:val="1875"/>
        </w:trPr>
        <w:tc>
          <w:tcPr>
            <w:tcW w:w="9351" w:type="dxa"/>
          </w:tcPr>
          <w:p w14:paraId="169521F9" w14:textId="6772292D" w:rsidR="00F001CF" w:rsidRPr="000E6ED4" w:rsidRDefault="00F001CF" w:rsidP="00533593">
            <w:pPr>
              <w:pStyle w:val="ListParagraph"/>
              <w:numPr>
                <w:ilvl w:val="0"/>
                <w:numId w:val="1"/>
              </w:numPr>
              <w:spacing w:before="200" w:after="120"/>
              <w:ind w:left="425" w:hanging="425"/>
              <w:contextualSpacing w:val="0"/>
              <w:rPr>
                <w:b/>
                <w:bCs/>
              </w:rPr>
            </w:pPr>
            <w:r w:rsidRPr="00E87D6A">
              <w:rPr>
                <w:b/>
                <w:bCs/>
              </w:rPr>
              <w:t>Agree</w:t>
            </w:r>
            <w:r w:rsidRPr="00E87D6A">
              <w:t xml:space="preserve"> in</w:t>
            </w:r>
            <w:r w:rsidRPr="00E87D6A">
              <w:rPr>
                <w:b/>
                <w:bCs/>
              </w:rPr>
              <w:t xml:space="preserve"> </w:t>
            </w:r>
            <w:r w:rsidRPr="00E87D6A">
              <w:t xml:space="preserve">principle that the Code should be strengthened to </w:t>
            </w:r>
            <w:r>
              <w:t>address matters identified in this review</w:t>
            </w:r>
            <w:r w:rsidRPr="00E87D6A">
              <w:t xml:space="preserve">; and that changes should occur after </w:t>
            </w:r>
            <w:r>
              <w:t>changes to the</w:t>
            </w:r>
            <w:r w:rsidRPr="00E87D6A">
              <w:t xml:space="preserve"> HDC Act to ensure cohesive legislative change.</w:t>
            </w:r>
            <w:r>
              <w:t xml:space="preserve"> HDC will provide you with a revised Code following changes to the Act, or at the next review, whichever is earlier.</w:t>
            </w:r>
          </w:p>
        </w:tc>
      </w:tr>
      <w:tr w:rsidR="00F001CF" w14:paraId="691CD59A" w14:textId="77777777" w:rsidTr="00381E2E">
        <w:trPr>
          <w:trHeight w:val="1875"/>
        </w:trPr>
        <w:tc>
          <w:tcPr>
            <w:tcW w:w="9351" w:type="dxa"/>
          </w:tcPr>
          <w:p w14:paraId="67FBD19F" w14:textId="3DEFE9F8" w:rsidR="00F001CF" w:rsidRPr="00E87D6A" w:rsidRDefault="00F001CF" w:rsidP="00533593">
            <w:pPr>
              <w:pStyle w:val="ListParagraph"/>
              <w:numPr>
                <w:ilvl w:val="0"/>
                <w:numId w:val="1"/>
              </w:numPr>
              <w:spacing w:before="120" w:after="120"/>
              <w:ind w:left="425" w:hanging="425"/>
              <w:contextualSpacing w:val="0"/>
              <w:rPr>
                <w:b/>
                <w:bCs/>
              </w:rPr>
            </w:pPr>
            <w:r w:rsidRPr="7D55A626">
              <w:rPr>
                <w:b/>
              </w:rPr>
              <w:t xml:space="preserve">Note </w:t>
            </w:r>
            <w:r w:rsidRPr="7D55A626">
              <w:t xml:space="preserve">that most of the issues identified and outcomes sought in the Act and Code </w:t>
            </w:r>
            <w:r>
              <w:t>r</w:t>
            </w:r>
            <w:r w:rsidRPr="7D55A626">
              <w:t xml:space="preserve">eview can be addressed operationally by </w:t>
            </w:r>
            <w:r w:rsidRPr="6BAA1D0F">
              <w:t>HDC</w:t>
            </w:r>
            <w:r w:rsidRPr="7D55A626">
              <w:t>, and that HDC is progressing a work programme to implement operational improvements that can be made within current resources.</w:t>
            </w:r>
          </w:p>
        </w:tc>
      </w:tr>
      <w:tr w:rsidR="00F001CF" w14:paraId="1F9F3315" w14:textId="77777777" w:rsidTr="00381E2E">
        <w:trPr>
          <w:trHeight w:val="937"/>
        </w:trPr>
        <w:tc>
          <w:tcPr>
            <w:tcW w:w="9351" w:type="dxa"/>
          </w:tcPr>
          <w:p w14:paraId="24F2C051" w14:textId="45B352E8" w:rsidR="00F001CF" w:rsidRPr="00E87D6A" w:rsidRDefault="00F001CF" w:rsidP="00533593">
            <w:pPr>
              <w:pStyle w:val="ListParagraph"/>
              <w:numPr>
                <w:ilvl w:val="0"/>
                <w:numId w:val="1"/>
              </w:numPr>
              <w:ind w:left="425" w:hanging="425"/>
              <w:contextualSpacing w:val="0"/>
              <w:rPr>
                <w:b/>
                <w:bCs/>
              </w:rPr>
            </w:pPr>
            <w:r w:rsidRPr="7590E5B1">
              <w:rPr>
                <w:b/>
              </w:rPr>
              <w:t xml:space="preserve">Note </w:t>
            </w:r>
            <w:r w:rsidRPr="7590E5B1">
              <w:t xml:space="preserve">that </w:t>
            </w:r>
            <w:r>
              <w:t xml:space="preserve">HDC will discuss options and resource implications for other </w:t>
            </w:r>
            <w:r w:rsidRPr="7590E5B1">
              <w:t xml:space="preserve">improvements </w:t>
            </w:r>
            <w:r>
              <w:t>with the Ministry of Health</w:t>
            </w:r>
            <w:r w:rsidRPr="7590E5B1">
              <w:t>.</w:t>
            </w:r>
          </w:p>
        </w:tc>
      </w:tr>
    </w:tbl>
    <w:p w14:paraId="7A86BDC6" w14:textId="43509641" w:rsidR="00737292" w:rsidRDefault="00737292" w:rsidP="009A1C8D">
      <w:pPr>
        <w:pStyle w:val="Heading2"/>
        <w:spacing w:before="240" w:after="120" w:line="278" w:lineRule="auto"/>
        <w:rPr>
          <w:rFonts w:asciiTheme="minorHAnsi" w:eastAsiaTheme="minorEastAsia" w:hAnsiTheme="minorHAnsi" w:cstheme="minorBidi"/>
          <w:color w:val="auto"/>
          <w:sz w:val="24"/>
          <w:szCs w:val="24"/>
        </w:rPr>
      </w:pPr>
      <w:r w:rsidRPr="00737292">
        <w:rPr>
          <w:rFonts w:ascii="Aptos" w:hAnsi="Aptos" w:cs="Arial"/>
          <w:b/>
          <w:bCs/>
          <w:color w:val="A6192E"/>
          <w:sz w:val="28"/>
          <w:szCs w:val="48"/>
          <w:lang w:val="en-NZ" w:eastAsia="en-US"/>
        </w:rPr>
        <w:lastRenderedPageBreak/>
        <w:t>Recommendations to the Ministers of Health and of Disability Issues</w:t>
      </w:r>
    </w:p>
    <w:tbl>
      <w:tblPr>
        <w:tblStyle w:val="TableGrid"/>
        <w:tblW w:w="9351"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51"/>
      </w:tblGrid>
      <w:tr w:rsidR="00F001CF" w14:paraId="6FD8D903" w14:textId="77777777" w:rsidTr="00381E2E">
        <w:tc>
          <w:tcPr>
            <w:tcW w:w="9351" w:type="dxa"/>
          </w:tcPr>
          <w:p w14:paraId="36CE5B72" w14:textId="77777777" w:rsidR="00F001CF" w:rsidRDefault="00F001CF" w:rsidP="009A1C8D">
            <w:pPr>
              <w:pStyle w:val="ListParagraph"/>
              <w:numPr>
                <w:ilvl w:val="0"/>
                <w:numId w:val="3"/>
              </w:numPr>
              <w:spacing w:before="220" w:after="220"/>
              <w:ind w:left="425" w:hanging="425"/>
              <w:contextualSpacing w:val="0"/>
            </w:pPr>
            <w:r w:rsidRPr="00282623">
              <w:rPr>
                <w:b/>
              </w:rPr>
              <w:t xml:space="preserve">Note </w:t>
            </w:r>
            <w:r w:rsidRPr="00282623">
              <w:t>that sector standards, guidance</w:t>
            </w:r>
            <w:r>
              <w:t>, commentary,</w:t>
            </w:r>
            <w:r w:rsidRPr="00282623">
              <w:t xml:space="preserve"> and </w:t>
            </w:r>
            <w:r>
              <w:t>education</w:t>
            </w:r>
            <w:r w:rsidRPr="00282623">
              <w:t xml:space="preserve"> are important </w:t>
            </w:r>
            <w:r>
              <w:t xml:space="preserve">levers </w:t>
            </w:r>
            <w:r w:rsidRPr="00282623">
              <w:t xml:space="preserve">to improve quality of care in the health and disability systems. </w:t>
            </w:r>
            <w:r>
              <w:t xml:space="preserve">The responsibility for these levers is shared across agencies and providers. </w:t>
            </w:r>
            <w:r w:rsidRPr="00BD32F5">
              <w:t>This review has</w:t>
            </w:r>
            <w:r>
              <w:t>:</w:t>
            </w:r>
          </w:p>
          <w:p w14:paraId="259704D9" w14:textId="77777777" w:rsidR="00F001CF" w:rsidRDefault="00F001CF" w:rsidP="009A1C8D">
            <w:pPr>
              <w:pStyle w:val="ListParagraph"/>
              <w:numPr>
                <w:ilvl w:val="0"/>
                <w:numId w:val="2"/>
              </w:numPr>
              <w:spacing w:before="220" w:after="220"/>
              <w:ind w:left="851" w:hanging="425"/>
              <w:contextualSpacing w:val="0"/>
            </w:pPr>
            <w:r>
              <w:t>R</w:t>
            </w:r>
            <w:r w:rsidRPr="00BD32F5">
              <w:t xml:space="preserve">einforced the need for a disability services quality framework as recommended </w:t>
            </w:r>
            <w:r>
              <w:t>by</w:t>
            </w:r>
            <w:r w:rsidRPr="00BD32F5">
              <w:t xml:space="preserve"> HDC</w:t>
            </w:r>
            <w:r>
              <w:t xml:space="preserve"> in our </w:t>
            </w:r>
            <w:r w:rsidRPr="00BD32F5">
              <w:t xml:space="preserve">July 2024 </w:t>
            </w:r>
            <w:r w:rsidRPr="00BD32F5">
              <w:rPr>
                <w:i/>
                <w:iCs/>
              </w:rPr>
              <w:t>Report on complaints to HDC about Residential Disability Support Services</w:t>
            </w:r>
            <w:r w:rsidRPr="009B2F05">
              <w:t>;</w:t>
            </w:r>
            <w:r w:rsidRPr="00BD32F5">
              <w:t xml:space="preserve"> </w:t>
            </w:r>
          </w:p>
          <w:p w14:paraId="2DA1C9E8" w14:textId="77777777" w:rsidR="00F001CF" w:rsidRDefault="00F001CF" w:rsidP="009A1C8D">
            <w:pPr>
              <w:pStyle w:val="ListParagraph"/>
              <w:numPr>
                <w:ilvl w:val="0"/>
                <w:numId w:val="2"/>
              </w:numPr>
              <w:spacing w:before="220" w:after="220"/>
              <w:ind w:left="851" w:hanging="425"/>
              <w:contextualSpacing w:val="0"/>
            </w:pPr>
            <w:r>
              <w:t>I</w:t>
            </w:r>
            <w:r w:rsidRPr="00BD32F5">
              <w:t>dentified gaps in commentary, guidance</w:t>
            </w:r>
            <w:r>
              <w:t>,</w:t>
            </w:r>
            <w:r w:rsidRPr="00BD32F5">
              <w:t xml:space="preserve"> and </w:t>
            </w:r>
            <w:r>
              <w:t>education</w:t>
            </w:r>
            <w:r w:rsidRPr="00BD32F5">
              <w:t xml:space="preserve"> in </w:t>
            </w:r>
            <w:r>
              <w:t>several</w:t>
            </w:r>
            <w:r w:rsidRPr="00BD32F5">
              <w:t xml:space="preserve"> areas, with the highest priorities being supported decision-making</w:t>
            </w:r>
            <w:r>
              <w:t>,</w:t>
            </w:r>
            <w:r w:rsidRPr="00BD32F5">
              <w:t xml:space="preserve"> </w:t>
            </w:r>
            <w:r w:rsidRPr="004E0C23">
              <w:t>upholding Right 1(3)</w:t>
            </w:r>
            <w:r>
              <w:t>,</w:t>
            </w:r>
            <w:r w:rsidRPr="004E0C23">
              <w:t xml:space="preserve"> and complaint resolution</w:t>
            </w:r>
            <w:r>
              <w:t>; and</w:t>
            </w:r>
          </w:p>
          <w:p w14:paraId="1653B6C8" w14:textId="1C220932" w:rsidR="00F001CF" w:rsidRPr="00E752DF" w:rsidRDefault="00F001CF" w:rsidP="009A1C8D">
            <w:pPr>
              <w:pStyle w:val="ListParagraph"/>
              <w:numPr>
                <w:ilvl w:val="0"/>
                <w:numId w:val="2"/>
              </w:numPr>
              <w:spacing w:before="220" w:after="220"/>
              <w:ind w:left="851" w:hanging="425"/>
              <w:contextualSpacing w:val="0"/>
            </w:pPr>
            <w:r>
              <w:t xml:space="preserve">Identified the need for a whole-of-system approach to ensure cohesive safeguards and appropriate accountability for the use of AI in health and disability care. </w:t>
            </w:r>
          </w:p>
        </w:tc>
      </w:tr>
      <w:tr w:rsidR="00F001CF" w14:paraId="662FADC5" w14:textId="77777777" w:rsidTr="00381E2E">
        <w:tc>
          <w:tcPr>
            <w:tcW w:w="9351" w:type="dxa"/>
          </w:tcPr>
          <w:p w14:paraId="6D0A297F" w14:textId="1C7FD545" w:rsidR="00F001CF" w:rsidRPr="00E752DF" w:rsidRDefault="00F001CF" w:rsidP="009A1C8D">
            <w:pPr>
              <w:pStyle w:val="ListParagraph"/>
              <w:keepNext/>
              <w:keepLines/>
              <w:numPr>
                <w:ilvl w:val="0"/>
                <w:numId w:val="3"/>
              </w:numPr>
              <w:spacing w:before="220" w:after="220"/>
              <w:ind w:left="714" w:right="190" w:hanging="357"/>
              <w:contextualSpacing w:val="0"/>
            </w:pPr>
            <w:r w:rsidRPr="004E0C23">
              <w:rPr>
                <w:b/>
                <w:bCs/>
              </w:rPr>
              <w:t xml:space="preserve">Note </w:t>
            </w:r>
            <w:r w:rsidRPr="004E0C23">
              <w:t xml:space="preserve">the critical roles of </w:t>
            </w:r>
            <w:r>
              <w:t xml:space="preserve">the </w:t>
            </w:r>
            <w:r w:rsidRPr="004E0C23">
              <w:t>Ministry of Health and Whaikaha</w:t>
            </w:r>
            <w:r>
              <w:t xml:space="preserve"> | Ministry of Disabled People,</w:t>
            </w:r>
            <w:r w:rsidRPr="004E0C23">
              <w:t xml:space="preserve"> Te Tāhū Hauora</w:t>
            </w:r>
            <w:r>
              <w:t xml:space="preserve"> </w:t>
            </w:r>
            <w:r w:rsidRPr="004E0C23">
              <w:t>|</w:t>
            </w:r>
            <w:r>
              <w:t xml:space="preserve"> </w:t>
            </w:r>
            <w:r w:rsidRPr="004E0C23">
              <w:t>Health Quality and Safety Commission</w:t>
            </w:r>
            <w:r>
              <w:t xml:space="preserve"> (HQSC),</w:t>
            </w:r>
            <w:r w:rsidRPr="004E0C23">
              <w:t xml:space="preserve"> Health New Zealand</w:t>
            </w:r>
            <w:r>
              <w:t xml:space="preserve"> | Te Whatu Ora,</w:t>
            </w:r>
            <w:r w:rsidRPr="004E0C23">
              <w:t xml:space="preserve"> </w:t>
            </w:r>
            <w:r>
              <w:t xml:space="preserve">and </w:t>
            </w:r>
            <w:r w:rsidRPr="004E0C23">
              <w:t xml:space="preserve">the Ministry of Social Development </w:t>
            </w:r>
            <w:r>
              <w:t>in</w:t>
            </w:r>
            <w:r w:rsidRPr="004E0C23">
              <w:t xml:space="preserve"> respond</w:t>
            </w:r>
            <w:r>
              <w:t>ing</w:t>
            </w:r>
            <w:r w:rsidRPr="004E0C23">
              <w:t xml:space="preserve"> to the issues identified in this review. </w:t>
            </w:r>
          </w:p>
        </w:tc>
      </w:tr>
      <w:tr w:rsidR="00F001CF" w14:paraId="5210DC18" w14:textId="77777777" w:rsidTr="00381E2E">
        <w:tc>
          <w:tcPr>
            <w:tcW w:w="9351" w:type="dxa"/>
          </w:tcPr>
          <w:p w14:paraId="4E2A5999" w14:textId="272420E3" w:rsidR="00F001CF" w:rsidRPr="000E6ED4" w:rsidRDefault="00F001CF" w:rsidP="009A1C8D">
            <w:pPr>
              <w:pStyle w:val="ListParagraph"/>
              <w:numPr>
                <w:ilvl w:val="0"/>
                <w:numId w:val="3"/>
              </w:numPr>
              <w:spacing w:before="220" w:after="220"/>
              <w:ind w:left="714" w:right="190" w:hanging="357"/>
            </w:pPr>
            <w:r w:rsidRPr="004E0C23">
              <w:rPr>
                <w:b/>
                <w:bCs/>
              </w:rPr>
              <w:t xml:space="preserve">Note </w:t>
            </w:r>
            <w:r w:rsidRPr="004E0C23">
              <w:t xml:space="preserve">that we will </w:t>
            </w:r>
            <w:r>
              <w:t>prioritise</w:t>
            </w:r>
            <w:r w:rsidRPr="004E0C23">
              <w:t xml:space="preserve"> and respond to gaps in commentary, guidance</w:t>
            </w:r>
            <w:r>
              <w:t>,</w:t>
            </w:r>
            <w:r w:rsidRPr="004E0C23">
              <w:t xml:space="preserve"> and </w:t>
            </w:r>
            <w:r>
              <w:t>education</w:t>
            </w:r>
            <w:r w:rsidRPr="004E0C23">
              <w:t xml:space="preserve"> that are best addressed by HDC</w:t>
            </w:r>
            <w:r>
              <w:t>, and will work with the health and disability sector in relation to</w:t>
            </w:r>
            <w:r w:rsidRPr="004E0C23">
              <w:t xml:space="preserve"> issues and suggestions identified</w:t>
            </w:r>
            <w:r w:rsidRPr="1224158A">
              <w:t xml:space="preserve"> through this review that require a wider system response.</w:t>
            </w:r>
          </w:p>
        </w:tc>
      </w:tr>
    </w:tbl>
    <w:p w14:paraId="6A8653B4" w14:textId="77777777" w:rsidR="00E752DF" w:rsidRDefault="00E752DF" w:rsidP="00E752DF">
      <w:pPr>
        <w:rPr>
          <w:lang w:val="en-NZ" w:eastAsia="en-US"/>
        </w:rPr>
      </w:pPr>
    </w:p>
    <w:p w14:paraId="03F9810F" w14:textId="77777777" w:rsidR="008C01E8" w:rsidRDefault="008C01E8" w:rsidP="00E752DF">
      <w:pPr>
        <w:rPr>
          <w:lang w:val="en-NZ" w:eastAsia="en-US"/>
        </w:rPr>
      </w:pPr>
    </w:p>
    <w:p w14:paraId="3BEC6EE8" w14:textId="77777777" w:rsidR="008C01E8" w:rsidRDefault="008C01E8" w:rsidP="00E752DF">
      <w:pPr>
        <w:rPr>
          <w:lang w:val="en-NZ" w:eastAsia="en-US"/>
        </w:rPr>
      </w:pPr>
    </w:p>
    <w:p w14:paraId="3421779A" w14:textId="77777777" w:rsidR="001E11DB" w:rsidRPr="00E752DF" w:rsidRDefault="001E11DB" w:rsidP="00E752DF">
      <w:pPr>
        <w:rPr>
          <w:lang w:val="en-NZ" w:eastAsia="en-US"/>
        </w:rPr>
      </w:pPr>
    </w:p>
    <w:p w14:paraId="4B30B07D" w14:textId="74CEB656" w:rsidR="00F7565D" w:rsidRDefault="000166FF" w:rsidP="002266EF">
      <w:pPr>
        <w:pStyle w:val="Heading2"/>
        <w:rPr>
          <w:rFonts w:ascii="Aptos" w:hAnsi="Aptos" w:cs="Arial"/>
          <w:b/>
          <w:bCs/>
          <w:color w:val="A6192E"/>
          <w:sz w:val="28"/>
          <w:szCs w:val="48"/>
          <w:lang w:val="en-NZ" w:eastAsia="en-US"/>
        </w:rPr>
      </w:pPr>
      <w:bookmarkStart w:id="0" w:name="_Toc185331968"/>
      <w:r w:rsidRPr="003E1A83">
        <w:rPr>
          <w:rFonts w:ascii="Aptos" w:hAnsi="Aptos" w:cs="Arial"/>
          <w:b/>
          <w:bCs/>
          <w:color w:val="A6192E"/>
          <w:sz w:val="28"/>
          <w:szCs w:val="48"/>
          <w:lang w:val="en-NZ" w:eastAsia="en-US"/>
        </w:rPr>
        <w:lastRenderedPageBreak/>
        <w:t xml:space="preserve">Topic 1: Better and Equitable Complaints </w:t>
      </w:r>
      <w:r w:rsidRPr="00994A9D">
        <w:rPr>
          <w:rFonts w:ascii="Aptos" w:hAnsi="Aptos" w:cs="Arial"/>
          <w:b/>
          <w:bCs/>
          <w:color w:val="A6192E"/>
          <w:sz w:val="28"/>
          <w:szCs w:val="48"/>
          <w:lang w:val="en-NZ" w:eastAsia="en-US"/>
        </w:rPr>
        <w:t>Resolution</w:t>
      </w:r>
      <w:bookmarkEnd w:id="0"/>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94"/>
        <w:gridCol w:w="7036"/>
      </w:tblGrid>
      <w:tr w:rsidR="00FF2898" w14:paraId="0F6F368A" w14:textId="77777777" w:rsidTr="004E441A">
        <w:tc>
          <w:tcPr>
            <w:tcW w:w="9330" w:type="dxa"/>
            <w:gridSpan w:val="2"/>
          </w:tcPr>
          <w:p w14:paraId="07597F24" w14:textId="188FDB8A" w:rsidR="00FF2898" w:rsidRPr="001A1720" w:rsidRDefault="00FF2898" w:rsidP="008B3CB1">
            <w:pPr>
              <w:pStyle w:val="ListParagraph"/>
              <w:numPr>
                <w:ilvl w:val="0"/>
                <w:numId w:val="4"/>
              </w:numPr>
              <w:spacing w:before="120" w:after="80"/>
              <w:ind w:left="714" w:hanging="357"/>
              <w:rPr>
                <w:color w:val="A6192E"/>
              </w:rPr>
            </w:pPr>
            <w:r w:rsidRPr="001A1720">
              <w:rPr>
                <w:color w:val="A6192E"/>
              </w:rPr>
              <w:t xml:space="preserve">Amend the purpose statement in section 6 of the Act to focus on people as well as processes </w:t>
            </w:r>
          </w:p>
        </w:tc>
      </w:tr>
      <w:tr w:rsidR="00297F23" w14:paraId="0A29D5F9" w14:textId="77777777" w:rsidTr="004E441A">
        <w:tc>
          <w:tcPr>
            <w:tcW w:w="2294" w:type="dxa"/>
          </w:tcPr>
          <w:p w14:paraId="388BFC6D" w14:textId="296C3932" w:rsidR="00297F23" w:rsidRPr="006842DF" w:rsidRDefault="00C16C11"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6F163F39" w14:textId="77777777" w:rsidR="008D4E1D" w:rsidRPr="00C11E89" w:rsidRDefault="008D4E1D" w:rsidP="00A83FB8">
            <w:pPr>
              <w:pStyle w:val="ListParagraph"/>
              <w:keepNext/>
              <w:keepLines/>
              <w:numPr>
                <w:ilvl w:val="0"/>
                <w:numId w:val="9"/>
              </w:numPr>
              <w:spacing w:before="80" w:after="80"/>
              <w:contextualSpacing w:val="0"/>
              <w:rPr>
                <w:lang w:val="en-US"/>
              </w:rPr>
            </w:pPr>
            <w:r w:rsidRPr="6F6C3F51">
              <w:rPr>
                <w:b/>
              </w:rPr>
              <w:t>Do not progress suggestion</w:t>
            </w:r>
            <w:r w:rsidRPr="6F6C3F51">
              <w:t xml:space="preserve"> to incorporate ‘mana’ into the purpose statement.</w:t>
            </w:r>
          </w:p>
          <w:p w14:paraId="4384618C" w14:textId="77777777" w:rsidR="008D4E1D" w:rsidRPr="00C11E89" w:rsidRDefault="008D4E1D" w:rsidP="00A83FB8">
            <w:pPr>
              <w:pStyle w:val="ListParagraph"/>
              <w:keepNext/>
              <w:keepLines/>
              <w:numPr>
                <w:ilvl w:val="0"/>
                <w:numId w:val="9"/>
              </w:numPr>
              <w:spacing w:before="80" w:after="80"/>
              <w:contextualSpacing w:val="0"/>
              <w:rPr>
                <w:lang w:val="en-US"/>
              </w:rPr>
            </w:pPr>
            <w:r w:rsidRPr="6F6C3F51">
              <w:rPr>
                <w:b/>
              </w:rPr>
              <w:t>Note</w:t>
            </w:r>
            <w:r w:rsidRPr="6F6C3F51">
              <w:t xml:space="preserve"> that a more people-</w:t>
            </w:r>
            <w:r>
              <w:t>centred</w:t>
            </w:r>
            <w:r w:rsidRPr="6F6C3F51">
              <w:t xml:space="preserve"> approach to complaints resolution can be achieved operationally. </w:t>
            </w:r>
          </w:p>
          <w:p w14:paraId="489F0ACE" w14:textId="77777777" w:rsidR="008D4E1D" w:rsidRPr="00D95B08" w:rsidRDefault="008D4E1D" w:rsidP="00A83FB8">
            <w:pPr>
              <w:pStyle w:val="ListParagraph"/>
              <w:keepNext/>
              <w:keepLines/>
              <w:numPr>
                <w:ilvl w:val="0"/>
                <w:numId w:val="9"/>
              </w:numPr>
              <w:spacing w:before="80" w:after="80"/>
              <w:rPr>
                <w:b/>
                <w:bCs/>
                <w:lang w:val="en-US"/>
              </w:rPr>
            </w:pPr>
            <w:r w:rsidRPr="6F6C3F51">
              <w:rPr>
                <w:b/>
              </w:rPr>
              <w:t xml:space="preserve">Propose </w:t>
            </w:r>
            <w:r w:rsidRPr="6F6C3F51">
              <w:t xml:space="preserve">new change to replace </w:t>
            </w:r>
            <w:r>
              <w:t xml:space="preserve">the </w:t>
            </w:r>
            <w:r w:rsidRPr="6F6C3F51">
              <w:t>complaint resolution principle ‘simple’ with ‘accessible’</w:t>
            </w:r>
            <w:r>
              <w:t>,</w:t>
            </w:r>
            <w:r w:rsidRPr="6F6C3F51">
              <w:t xml:space="preserve"> and ‘speedy’ with ‘responsive’ in the </w:t>
            </w:r>
            <w:r>
              <w:t xml:space="preserve">Act’s </w:t>
            </w:r>
            <w:r w:rsidRPr="6F6C3F51">
              <w:t>purpose statement and in Right 10</w:t>
            </w:r>
            <w:r>
              <w:t>, making the new principles ‘</w:t>
            </w:r>
            <w:r w:rsidRPr="008939B6">
              <w:rPr>
                <w:i/>
                <w:iCs/>
              </w:rPr>
              <w:t>fair, accessible, responsive, and efficient</w:t>
            </w:r>
            <w:r>
              <w:t xml:space="preserve">’. </w:t>
            </w:r>
          </w:p>
          <w:p w14:paraId="6D5FAAD6" w14:textId="4B57483C" w:rsidR="00297F23" w:rsidRPr="008D4E1D" w:rsidRDefault="008D4E1D" w:rsidP="00A83FB8">
            <w:pPr>
              <w:pStyle w:val="ListParagraph"/>
              <w:numPr>
                <w:ilvl w:val="0"/>
                <w:numId w:val="9"/>
              </w:numPr>
              <w:spacing w:before="80" w:after="80"/>
            </w:pPr>
            <w:r w:rsidRPr="004A1644">
              <w:rPr>
                <w:b/>
              </w:rPr>
              <w:t xml:space="preserve">Ministry of Health </w:t>
            </w:r>
            <w:r w:rsidR="004A1644" w:rsidRPr="004A1644">
              <w:rPr>
                <w:b/>
              </w:rPr>
              <w:t xml:space="preserve">to </w:t>
            </w:r>
            <w:r w:rsidRPr="004A1644">
              <w:rPr>
                <w:b/>
              </w:rPr>
              <w:t>consider</w:t>
            </w:r>
            <w:r>
              <w:t xml:space="preserve"> whether there should also be an explicit reference to timeliness within the complaint resolution principles.</w:t>
            </w:r>
          </w:p>
        </w:tc>
      </w:tr>
      <w:tr w:rsidR="00FC6EAC" w14:paraId="74A2B895" w14:textId="77777777" w:rsidTr="004E441A">
        <w:tc>
          <w:tcPr>
            <w:tcW w:w="9330" w:type="dxa"/>
            <w:gridSpan w:val="2"/>
          </w:tcPr>
          <w:p w14:paraId="2F268AAC" w14:textId="74F05C42" w:rsidR="00FC6EAC" w:rsidRPr="00433141" w:rsidRDefault="00DF13BF" w:rsidP="00DF13BF">
            <w:pPr>
              <w:spacing w:before="80" w:after="80"/>
              <w:ind w:left="720"/>
              <w:jc w:val="right"/>
            </w:pPr>
            <w:r>
              <w:rPr>
                <w:b/>
                <w:bCs/>
                <w:lang w:val="en-NZ" w:eastAsia="en-US"/>
              </w:rPr>
              <w:t xml:space="preserve"> Pages: </w:t>
            </w:r>
            <w:r w:rsidR="00FC6EAC" w:rsidRPr="00433141">
              <w:t>20-21</w:t>
            </w:r>
          </w:p>
        </w:tc>
      </w:tr>
      <w:tr w:rsidR="00EF1EAB" w14:paraId="66389961" w14:textId="77777777" w:rsidTr="004E441A">
        <w:tc>
          <w:tcPr>
            <w:tcW w:w="9330" w:type="dxa"/>
            <w:gridSpan w:val="2"/>
          </w:tcPr>
          <w:p w14:paraId="2956138C" w14:textId="7F1BB507" w:rsidR="00EF1EAB" w:rsidRPr="00994A9D" w:rsidRDefault="00EF1EAB" w:rsidP="00B87037">
            <w:pPr>
              <w:pStyle w:val="ListParagraph"/>
              <w:numPr>
                <w:ilvl w:val="0"/>
                <w:numId w:val="4"/>
              </w:numPr>
              <w:spacing w:before="80" w:after="80"/>
              <w:ind w:left="714" w:hanging="357"/>
              <w:rPr>
                <w:color w:val="A6192E"/>
              </w:rPr>
            </w:pPr>
            <w:r w:rsidRPr="00994A9D">
              <w:rPr>
                <w:color w:val="A6192E"/>
              </w:rPr>
              <w:t xml:space="preserve">Clarify cultural responsiveness </w:t>
            </w:r>
          </w:p>
        </w:tc>
      </w:tr>
      <w:tr w:rsidR="00E40CF8" w14:paraId="296F7A92" w14:textId="77777777" w:rsidTr="004E441A">
        <w:tc>
          <w:tcPr>
            <w:tcW w:w="2294" w:type="dxa"/>
          </w:tcPr>
          <w:p w14:paraId="59EE413A" w14:textId="16F3536B" w:rsidR="00E40CF8" w:rsidRPr="006842DF" w:rsidRDefault="00C16C11"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0BFAD260" w14:textId="77777777" w:rsidR="00896B51" w:rsidRPr="009C47EB" w:rsidRDefault="00896B51" w:rsidP="00A83FB8">
            <w:pPr>
              <w:pStyle w:val="ListParagraph"/>
              <w:numPr>
                <w:ilvl w:val="0"/>
                <w:numId w:val="10"/>
              </w:numPr>
              <w:spacing w:before="80" w:after="80"/>
              <w:ind w:left="719" w:hanging="284"/>
              <w:rPr>
                <w:b/>
                <w:bCs/>
                <w:lang w:val="en-US"/>
              </w:rPr>
            </w:pPr>
            <w:r w:rsidRPr="000C50EE">
              <w:rPr>
                <w:b/>
                <w:bCs/>
                <w:lang w:val="en-US"/>
              </w:rPr>
              <w:t>Confirm proposed Right 1(3) wording</w:t>
            </w:r>
            <w:r>
              <w:rPr>
                <w:b/>
                <w:bCs/>
                <w:lang w:val="en-US"/>
              </w:rPr>
              <w:t xml:space="preserve"> </w:t>
            </w:r>
            <w:r w:rsidRPr="150AE0D0">
              <w:t>with change to add ‘tikanga’ after ‘needs’</w:t>
            </w:r>
            <w:r>
              <w:t xml:space="preserve"> so that the right becomes</w:t>
            </w:r>
            <w:r w:rsidRPr="00F732D8">
              <w:t xml:space="preserve"> ‘</w:t>
            </w:r>
            <w:r w:rsidRPr="000C50EE">
              <w:rPr>
                <w:lang w:val="mi-NZ"/>
              </w:rPr>
              <w:t>Every consumer has the right to be provided with services that take into account their needs</w:t>
            </w:r>
            <w:r w:rsidRPr="00CB06CC">
              <w:rPr>
                <w:i/>
                <w:iCs/>
                <w:lang w:val="mi-NZ"/>
              </w:rPr>
              <w:t>, tikanga, culture, language, identity</w:t>
            </w:r>
            <w:r w:rsidRPr="000C50EE">
              <w:rPr>
                <w:lang w:val="mi-NZ"/>
              </w:rPr>
              <w:t>, values, and beliefs.’</w:t>
            </w:r>
          </w:p>
          <w:p w14:paraId="30657302" w14:textId="77777777" w:rsidR="00896B51" w:rsidRPr="002002B2" w:rsidRDefault="00896B51" w:rsidP="00A83FB8">
            <w:pPr>
              <w:pStyle w:val="ListParagraph"/>
              <w:numPr>
                <w:ilvl w:val="0"/>
                <w:numId w:val="10"/>
              </w:numPr>
              <w:spacing w:before="80" w:after="80"/>
              <w:ind w:left="719" w:hanging="284"/>
              <w:contextualSpacing w:val="0"/>
              <w:rPr>
                <w:lang w:val="en-US"/>
              </w:rPr>
            </w:pPr>
            <w:r w:rsidRPr="150AE0D0">
              <w:rPr>
                <w:b/>
              </w:rPr>
              <w:t xml:space="preserve">HDC to consider opportunities </w:t>
            </w:r>
            <w:r w:rsidRPr="150AE0D0">
              <w:t xml:space="preserve">to strengthen capability to assess and respond to potential </w:t>
            </w:r>
            <w:r>
              <w:t>breaches of Right 1(3)</w:t>
            </w:r>
            <w:r w:rsidRPr="00C11E89">
              <w:t xml:space="preserve">, including </w:t>
            </w:r>
            <w:r>
              <w:t>reviewing</w:t>
            </w:r>
            <w:r w:rsidRPr="00C11E89">
              <w:t xml:space="preserve"> </w:t>
            </w:r>
            <w:r>
              <w:t>our processes</w:t>
            </w:r>
            <w:r w:rsidRPr="00C11E89">
              <w:t xml:space="preserve"> and guidance to staff to ensure </w:t>
            </w:r>
            <w:r>
              <w:t xml:space="preserve">that </w:t>
            </w:r>
            <w:r w:rsidRPr="00C11E89">
              <w:t xml:space="preserve">the </w:t>
            </w:r>
            <w:r>
              <w:t>correct</w:t>
            </w:r>
            <w:r w:rsidRPr="00C11E89">
              <w:t xml:space="preserve"> information is obtained </w:t>
            </w:r>
            <w:r>
              <w:t>during the complaints process</w:t>
            </w:r>
            <w:r w:rsidRPr="00C11E89">
              <w:t xml:space="preserve"> to</w:t>
            </w:r>
            <w:r>
              <w:t xml:space="preserve"> accurately</w:t>
            </w:r>
            <w:r w:rsidRPr="00C11E89">
              <w:t xml:space="preserve"> identify elements of tikanga and </w:t>
            </w:r>
            <w:r w:rsidRPr="2B309756">
              <w:t xml:space="preserve">further </w:t>
            </w:r>
            <w:r w:rsidRPr="00C11E89">
              <w:t>cultural considerations</w:t>
            </w:r>
            <w:r>
              <w:t>.</w:t>
            </w:r>
          </w:p>
          <w:p w14:paraId="244941D6" w14:textId="3C953AF5" w:rsidR="00E40CF8" w:rsidRPr="00D66F8A" w:rsidRDefault="00896B51" w:rsidP="00A83FB8">
            <w:pPr>
              <w:pStyle w:val="ListParagraph"/>
              <w:numPr>
                <w:ilvl w:val="0"/>
                <w:numId w:val="51"/>
              </w:numPr>
              <w:spacing w:before="80" w:after="80"/>
              <w:ind w:left="719" w:hanging="284"/>
              <w:rPr>
                <w:lang w:val="en-US"/>
              </w:rPr>
            </w:pPr>
            <w:r w:rsidRPr="00C6527A">
              <w:rPr>
                <w:b/>
              </w:rPr>
              <w:t>HDC to continue</w:t>
            </w:r>
            <w:r w:rsidRPr="002002B2">
              <w:rPr>
                <w:bCs/>
              </w:rPr>
              <w:t xml:space="preserve"> to strengthen </w:t>
            </w:r>
            <w:r>
              <w:rPr>
                <w:bCs/>
              </w:rPr>
              <w:t>our internal</w:t>
            </w:r>
            <w:r w:rsidRPr="002002B2">
              <w:rPr>
                <w:bCs/>
              </w:rPr>
              <w:t xml:space="preserve"> cultural capability, including the use of ti</w:t>
            </w:r>
            <w:r>
              <w:rPr>
                <w:bCs/>
              </w:rPr>
              <w:t>kang</w:t>
            </w:r>
            <w:r w:rsidRPr="002002B2">
              <w:rPr>
                <w:bCs/>
              </w:rPr>
              <w:t>a-led approaches to complaint</w:t>
            </w:r>
            <w:r>
              <w:rPr>
                <w:bCs/>
              </w:rPr>
              <w:t>s</w:t>
            </w:r>
            <w:r w:rsidRPr="002002B2">
              <w:rPr>
                <w:bCs/>
              </w:rPr>
              <w:t xml:space="preserve"> resolution</w:t>
            </w:r>
            <w:r>
              <w:rPr>
                <w:bCs/>
              </w:rPr>
              <w:t>.</w:t>
            </w:r>
            <w:r w:rsidRPr="002002B2">
              <w:rPr>
                <w:bCs/>
              </w:rPr>
              <w:t xml:space="preserve"> </w:t>
            </w:r>
          </w:p>
        </w:tc>
      </w:tr>
      <w:tr w:rsidR="00326FB7" w14:paraId="6980D363" w14:textId="77777777" w:rsidTr="004E441A">
        <w:tc>
          <w:tcPr>
            <w:tcW w:w="9330" w:type="dxa"/>
            <w:gridSpan w:val="2"/>
          </w:tcPr>
          <w:p w14:paraId="51F9716A" w14:textId="72498A20" w:rsidR="00326FB7" w:rsidRPr="00D1451E" w:rsidRDefault="00326FB7" w:rsidP="00D1451E">
            <w:pPr>
              <w:spacing w:before="80" w:after="80"/>
              <w:jc w:val="right"/>
              <w:rPr>
                <w:b/>
                <w:bCs/>
                <w:lang w:val="en-NZ" w:eastAsia="en-US"/>
              </w:rPr>
            </w:pPr>
            <w:r w:rsidRPr="006842DF">
              <w:rPr>
                <w:b/>
                <w:bCs/>
                <w:lang w:val="en-NZ" w:eastAsia="en-US"/>
              </w:rPr>
              <w:t>Pages</w:t>
            </w:r>
            <w:r w:rsidR="00D1451E">
              <w:rPr>
                <w:b/>
                <w:bCs/>
                <w:lang w:val="en-NZ" w:eastAsia="en-US"/>
              </w:rPr>
              <w:t xml:space="preserve">: </w:t>
            </w:r>
            <w:r w:rsidR="00D1451E">
              <w:t>21-22</w:t>
            </w:r>
          </w:p>
        </w:tc>
      </w:tr>
      <w:tr w:rsidR="00B87037" w14:paraId="5CC14F3B" w14:textId="77777777" w:rsidTr="004E441A">
        <w:tc>
          <w:tcPr>
            <w:tcW w:w="9330" w:type="dxa"/>
            <w:gridSpan w:val="2"/>
          </w:tcPr>
          <w:p w14:paraId="0E25D74D" w14:textId="52FD36C1" w:rsidR="00B87037" w:rsidRPr="001A1720" w:rsidRDefault="00B87037" w:rsidP="008B3CB1">
            <w:pPr>
              <w:pStyle w:val="ListParagraph"/>
              <w:numPr>
                <w:ilvl w:val="0"/>
                <w:numId w:val="7"/>
              </w:numPr>
              <w:spacing w:before="120" w:after="80"/>
              <w:ind w:left="714" w:hanging="357"/>
              <w:rPr>
                <w:color w:val="A6192E"/>
              </w:rPr>
            </w:pPr>
            <w:r w:rsidRPr="001A1720">
              <w:rPr>
                <w:color w:val="A6192E"/>
              </w:rPr>
              <w:lastRenderedPageBreak/>
              <w:t xml:space="preserve">Clarify the role of family, support people and whānau (changes to Right 3, 8 and 10 of the Code) </w:t>
            </w:r>
          </w:p>
        </w:tc>
      </w:tr>
      <w:tr w:rsidR="005F4B3D" w14:paraId="0769F4EE" w14:textId="77777777" w:rsidTr="004E441A">
        <w:tc>
          <w:tcPr>
            <w:tcW w:w="2294" w:type="dxa"/>
          </w:tcPr>
          <w:p w14:paraId="016ACD7D" w14:textId="0743C148" w:rsidR="005F4B3D" w:rsidRPr="006842DF" w:rsidRDefault="00C16C11"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3CC108C3" w14:textId="77777777" w:rsidR="003C6076" w:rsidRPr="00A63E23" w:rsidRDefault="003C6076" w:rsidP="00A83FB8">
            <w:pPr>
              <w:pStyle w:val="ListParagraph"/>
              <w:numPr>
                <w:ilvl w:val="0"/>
                <w:numId w:val="8"/>
              </w:numPr>
              <w:spacing w:before="80" w:after="80"/>
              <w:rPr>
                <w:lang w:val="en-US"/>
              </w:rPr>
            </w:pPr>
            <w:r>
              <w:rPr>
                <w:b/>
              </w:rPr>
              <w:t xml:space="preserve">Confirm proposed wording </w:t>
            </w:r>
            <w:r w:rsidRPr="00D55795">
              <w:t>to replace ‘independence’ with ‘autonomy’ in Right 3</w:t>
            </w:r>
            <w:r>
              <w:t xml:space="preserve"> and change this right to: ‘Every consumer has the right to have services provided in a manner that respects the dignity and </w:t>
            </w:r>
            <w:r w:rsidRPr="00057512">
              <w:rPr>
                <w:i/>
                <w:iCs/>
              </w:rPr>
              <w:t>autonomy</w:t>
            </w:r>
            <w:r>
              <w:t xml:space="preserve"> of the individual.’</w:t>
            </w:r>
          </w:p>
          <w:p w14:paraId="5479F1C3" w14:textId="77777777" w:rsidR="003C6076" w:rsidRPr="00A63E23" w:rsidRDefault="003C6076" w:rsidP="00A83FB8">
            <w:pPr>
              <w:pStyle w:val="ListParagraph"/>
              <w:numPr>
                <w:ilvl w:val="0"/>
                <w:numId w:val="8"/>
              </w:numPr>
              <w:spacing w:before="80" w:after="80"/>
              <w:rPr>
                <w:lang w:val="en-US"/>
              </w:rPr>
            </w:pPr>
            <w:r>
              <w:rPr>
                <w:b/>
              </w:rPr>
              <w:t xml:space="preserve">Confirm proposed wording </w:t>
            </w:r>
            <w:r w:rsidRPr="00D55795">
              <w:t>in Right 8</w:t>
            </w:r>
            <w:r>
              <w:t xml:space="preserve"> to change this right to: ‘</w:t>
            </w:r>
            <w:r w:rsidRPr="00203321">
              <w:t xml:space="preserve">Every consumer has the right to have one or more support persons of their choice present, except where safety may be compromised, or another consumer’s rights may be unreasonably infringed. </w:t>
            </w:r>
            <w:r w:rsidRPr="00057512">
              <w:rPr>
                <w:i/>
                <w:iCs/>
              </w:rPr>
              <w:t>Where support people cannot be physically present, this includes the right to have support people involved in other ways</w:t>
            </w:r>
            <w:r w:rsidRPr="003E3C34">
              <w:t>.</w:t>
            </w:r>
            <w:r w:rsidRPr="00203321">
              <w:t>’</w:t>
            </w:r>
          </w:p>
          <w:p w14:paraId="653CA645" w14:textId="77777777" w:rsidR="003C6076" w:rsidRPr="00A63E23" w:rsidRDefault="003C6076" w:rsidP="00A83FB8">
            <w:pPr>
              <w:pStyle w:val="ListParagraph"/>
              <w:numPr>
                <w:ilvl w:val="0"/>
                <w:numId w:val="8"/>
              </w:numPr>
              <w:spacing w:before="80" w:after="80"/>
              <w:rPr>
                <w:lang w:val="en-US"/>
              </w:rPr>
            </w:pPr>
            <w:r>
              <w:rPr>
                <w:b/>
              </w:rPr>
              <w:t xml:space="preserve">Revise proposed wording </w:t>
            </w:r>
            <w:r w:rsidRPr="00D55795">
              <w:t>for Right 10(1) to</w:t>
            </w:r>
            <w:r>
              <w:t>:</w:t>
            </w:r>
            <w:r w:rsidRPr="00D55795">
              <w:t xml:space="preserve"> ‘Every consumer has the right to complain about a provider in any form appropriate to that consumer. </w:t>
            </w:r>
            <w:r w:rsidRPr="00057512">
              <w:rPr>
                <w:i/>
                <w:iCs/>
              </w:rPr>
              <w:t>This includes the right to support to make a complaint</w:t>
            </w:r>
            <w:r>
              <w:rPr>
                <w:i/>
                <w:iCs/>
              </w:rPr>
              <w:t>.</w:t>
            </w:r>
            <w:r w:rsidRPr="00057512">
              <w:rPr>
                <w:i/>
                <w:iCs/>
              </w:rPr>
              <w:t>’</w:t>
            </w:r>
          </w:p>
          <w:p w14:paraId="62C39C80" w14:textId="77777777" w:rsidR="003C6076" w:rsidRPr="00A63E23" w:rsidRDefault="003C6076" w:rsidP="00A83FB8">
            <w:pPr>
              <w:pStyle w:val="ListParagraph"/>
              <w:numPr>
                <w:ilvl w:val="0"/>
                <w:numId w:val="8"/>
              </w:numPr>
              <w:spacing w:before="80" w:after="80"/>
              <w:rPr>
                <w:lang w:val="en-US"/>
              </w:rPr>
            </w:pPr>
            <w:r>
              <w:rPr>
                <w:b/>
              </w:rPr>
              <w:t xml:space="preserve">HDC to update commentary and education </w:t>
            </w:r>
            <w:r w:rsidRPr="00D55795">
              <w:t>to promote consumer</w:t>
            </w:r>
            <w:r>
              <w:t xml:space="preserve"> and whānau</w:t>
            </w:r>
            <w:r w:rsidRPr="00D55795">
              <w:t xml:space="preserve"> understanding of the</w:t>
            </w:r>
            <w:r>
              <w:t>se</w:t>
            </w:r>
            <w:r w:rsidRPr="00D55795">
              <w:t xml:space="preserve"> rights</w:t>
            </w:r>
            <w:r>
              <w:t xml:space="preserve"> and avenues for complaints, </w:t>
            </w:r>
            <w:r w:rsidRPr="00D55795">
              <w:t>and provider awareness of their obligations to support changes.</w:t>
            </w:r>
          </w:p>
          <w:p w14:paraId="7959DC6B" w14:textId="4F27E719" w:rsidR="005F4B3D" w:rsidRPr="003C6076" w:rsidRDefault="003C6076" w:rsidP="00A83FB8">
            <w:pPr>
              <w:pStyle w:val="ListParagraph"/>
              <w:numPr>
                <w:ilvl w:val="0"/>
                <w:numId w:val="8"/>
              </w:numPr>
              <w:spacing w:before="80" w:after="80"/>
              <w:rPr>
                <w:lang w:val="en-US"/>
              </w:rPr>
            </w:pPr>
            <w:r>
              <w:rPr>
                <w:b/>
              </w:rPr>
              <w:t xml:space="preserve">HDC to consider opportunities </w:t>
            </w:r>
            <w:r w:rsidRPr="00D55795">
              <w:t>to share learning and guidance with the sector on responding to complaints from third parties.</w:t>
            </w:r>
          </w:p>
        </w:tc>
      </w:tr>
      <w:tr w:rsidR="00B87037" w14:paraId="62EDABF9" w14:textId="77777777" w:rsidTr="004E441A">
        <w:tc>
          <w:tcPr>
            <w:tcW w:w="9330" w:type="dxa"/>
            <w:gridSpan w:val="2"/>
          </w:tcPr>
          <w:p w14:paraId="3542E8E7" w14:textId="2FEC013C" w:rsidR="00B87037" w:rsidRPr="00B87037" w:rsidRDefault="00B87037" w:rsidP="00B87037">
            <w:pPr>
              <w:spacing w:before="80" w:after="80"/>
              <w:jc w:val="right"/>
              <w:rPr>
                <w:b/>
                <w:bCs/>
                <w:lang w:val="en-NZ" w:eastAsia="en-US"/>
              </w:rPr>
            </w:pPr>
            <w:r w:rsidRPr="006842DF">
              <w:rPr>
                <w:b/>
                <w:bCs/>
                <w:lang w:val="en-NZ" w:eastAsia="en-US"/>
              </w:rPr>
              <w:t>Page</w:t>
            </w:r>
            <w:r>
              <w:rPr>
                <w:b/>
                <w:bCs/>
                <w:lang w:val="en-NZ" w:eastAsia="en-US"/>
              </w:rPr>
              <w:t xml:space="preserve">s: </w:t>
            </w:r>
            <w:r w:rsidRPr="00B87037">
              <w:rPr>
                <w:lang w:val="en-NZ" w:eastAsia="en-US"/>
              </w:rPr>
              <w:t>22-25</w:t>
            </w:r>
          </w:p>
        </w:tc>
      </w:tr>
      <w:tr w:rsidR="00B87037" w14:paraId="06835EE7" w14:textId="77777777" w:rsidTr="004E441A">
        <w:tc>
          <w:tcPr>
            <w:tcW w:w="9330" w:type="dxa"/>
            <w:gridSpan w:val="2"/>
          </w:tcPr>
          <w:p w14:paraId="3E9F761F" w14:textId="366B04D4" w:rsidR="00B87037" w:rsidRPr="001A1720" w:rsidRDefault="00B87037" w:rsidP="00A83FB8">
            <w:pPr>
              <w:pStyle w:val="ListParagraph"/>
              <w:numPr>
                <w:ilvl w:val="0"/>
                <w:numId w:val="12"/>
              </w:numPr>
              <w:spacing w:before="80" w:after="80"/>
              <w:rPr>
                <w:color w:val="A6192E"/>
              </w:rPr>
            </w:pPr>
            <w:r w:rsidRPr="001A1720">
              <w:rPr>
                <w:color w:val="A6192E"/>
              </w:rPr>
              <w:t xml:space="preserve">Ensure gender-inclusive language </w:t>
            </w:r>
          </w:p>
        </w:tc>
      </w:tr>
      <w:tr w:rsidR="00482845" w14:paraId="76E0EDB8" w14:textId="77777777" w:rsidTr="004E441A">
        <w:tc>
          <w:tcPr>
            <w:tcW w:w="2294" w:type="dxa"/>
          </w:tcPr>
          <w:p w14:paraId="5B0FE20C" w14:textId="4DB76B29" w:rsidR="00482845" w:rsidRPr="006842DF" w:rsidRDefault="00C16C11"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0B5FD7A8" w14:textId="14296506" w:rsidR="00482845" w:rsidRPr="00482845" w:rsidRDefault="00482845" w:rsidP="00A83FB8">
            <w:pPr>
              <w:pStyle w:val="ListParagraph"/>
              <w:numPr>
                <w:ilvl w:val="0"/>
                <w:numId w:val="11"/>
              </w:numPr>
              <w:spacing w:before="80" w:after="80"/>
              <w:rPr>
                <w:b/>
              </w:rPr>
            </w:pPr>
            <w:r w:rsidRPr="00127245">
              <w:rPr>
                <w:b/>
              </w:rPr>
              <w:t xml:space="preserve">Confirm proposed </w:t>
            </w:r>
            <w:r w:rsidRPr="003D5D05">
              <w:rPr>
                <w:bCs/>
              </w:rPr>
              <w:t>gender-neutral language for the Code.</w:t>
            </w:r>
          </w:p>
        </w:tc>
      </w:tr>
      <w:tr w:rsidR="00B87037" w14:paraId="15CCCE0E" w14:textId="77777777" w:rsidTr="004E441A">
        <w:tc>
          <w:tcPr>
            <w:tcW w:w="9330" w:type="dxa"/>
            <w:gridSpan w:val="2"/>
          </w:tcPr>
          <w:p w14:paraId="2D64F9B8" w14:textId="030C432B" w:rsidR="00B87037" w:rsidRPr="00B87037" w:rsidRDefault="00B87037" w:rsidP="00B87037">
            <w:pPr>
              <w:spacing w:before="80" w:after="80"/>
              <w:jc w:val="right"/>
              <w:rPr>
                <w:b/>
                <w:bCs/>
                <w:lang w:val="en-NZ" w:eastAsia="en-US"/>
              </w:rPr>
            </w:pPr>
            <w:r w:rsidRPr="006842DF">
              <w:rPr>
                <w:b/>
                <w:bCs/>
                <w:lang w:val="en-NZ" w:eastAsia="en-US"/>
              </w:rPr>
              <w:t>Page</w:t>
            </w:r>
            <w:r>
              <w:rPr>
                <w:b/>
                <w:bCs/>
                <w:lang w:val="en-NZ" w:eastAsia="en-US"/>
              </w:rPr>
              <w:t xml:space="preserve">: </w:t>
            </w:r>
            <w:r w:rsidRPr="00B87037">
              <w:rPr>
                <w:lang w:val="en-NZ" w:eastAsia="en-US"/>
              </w:rPr>
              <w:t>25</w:t>
            </w:r>
          </w:p>
        </w:tc>
      </w:tr>
      <w:tr w:rsidR="00115200" w14:paraId="2B55586C" w14:textId="77777777" w:rsidTr="004E441A">
        <w:tc>
          <w:tcPr>
            <w:tcW w:w="9330" w:type="dxa"/>
            <w:gridSpan w:val="2"/>
          </w:tcPr>
          <w:p w14:paraId="082C6CC4" w14:textId="5E381932" w:rsidR="00115200" w:rsidRPr="001A1720" w:rsidRDefault="00115200" w:rsidP="00A83FB8">
            <w:pPr>
              <w:pStyle w:val="ListParagraph"/>
              <w:numPr>
                <w:ilvl w:val="0"/>
                <w:numId w:val="13"/>
              </w:numPr>
              <w:spacing w:before="80" w:after="80"/>
              <w:rPr>
                <w:color w:val="A6192E"/>
              </w:rPr>
            </w:pPr>
            <w:r w:rsidRPr="001A1720">
              <w:rPr>
                <w:color w:val="A6192E"/>
              </w:rPr>
              <w:t>Protect against retaliation</w:t>
            </w:r>
          </w:p>
        </w:tc>
      </w:tr>
      <w:tr w:rsidR="00482845" w14:paraId="0D554DAD" w14:textId="77777777" w:rsidTr="004E441A">
        <w:tc>
          <w:tcPr>
            <w:tcW w:w="2294" w:type="dxa"/>
          </w:tcPr>
          <w:p w14:paraId="027A6F5D" w14:textId="4BFA1C6C" w:rsidR="00482845" w:rsidRPr="006842DF" w:rsidRDefault="00482845" w:rsidP="00C26A65">
            <w:pPr>
              <w:spacing w:before="80" w:after="80"/>
              <w:jc w:val="right"/>
              <w:rPr>
                <w:b/>
                <w:bCs/>
                <w:lang w:val="en-NZ" w:eastAsia="en-US"/>
              </w:rPr>
            </w:pPr>
            <w:r w:rsidRPr="006842DF">
              <w:rPr>
                <w:b/>
                <w:bCs/>
                <w:lang w:val="en-NZ" w:eastAsia="en-US"/>
              </w:rPr>
              <w:t>Recommendations</w:t>
            </w:r>
            <w:r w:rsidR="00C16C11">
              <w:rPr>
                <w:b/>
                <w:bCs/>
                <w:lang w:val="en-NZ" w:eastAsia="en-US"/>
              </w:rPr>
              <w:t xml:space="preserve"> and response</w:t>
            </w:r>
          </w:p>
        </w:tc>
        <w:tc>
          <w:tcPr>
            <w:tcW w:w="7036" w:type="dxa"/>
          </w:tcPr>
          <w:p w14:paraId="35F0926B" w14:textId="77777777" w:rsidR="00E05D80" w:rsidRPr="00371F27" w:rsidRDefault="00E05D80" w:rsidP="00A83FB8">
            <w:pPr>
              <w:pStyle w:val="ListParagraph"/>
              <w:numPr>
                <w:ilvl w:val="0"/>
                <w:numId w:val="24"/>
              </w:numPr>
              <w:spacing w:before="80" w:after="80" w:line="240" w:lineRule="auto"/>
            </w:pPr>
            <w:r w:rsidRPr="150AE0D0">
              <w:rPr>
                <w:b/>
              </w:rPr>
              <w:t>Confirm proposed wording</w:t>
            </w:r>
            <w:r w:rsidRPr="150AE0D0">
              <w:t xml:space="preserve"> of </w:t>
            </w:r>
            <w:r>
              <w:t xml:space="preserve">new Right </w:t>
            </w:r>
            <w:r w:rsidRPr="150AE0D0">
              <w:t>10(9)</w:t>
            </w:r>
            <w:r>
              <w:t>: ‘</w:t>
            </w:r>
            <w:r w:rsidRPr="00371F27">
              <w:t>A provider may not treat</w:t>
            </w:r>
            <w:r>
              <w:t>,</w:t>
            </w:r>
            <w:r w:rsidRPr="00371F27">
              <w:t xml:space="preserve"> or threaten to treat</w:t>
            </w:r>
            <w:r>
              <w:t>,</w:t>
            </w:r>
            <w:r w:rsidRPr="00371F27">
              <w:t xml:space="preserve"> less favourably than other people in the same or substantially similar circumstances —</w:t>
            </w:r>
          </w:p>
          <w:p w14:paraId="692DE836" w14:textId="77777777" w:rsidR="00E05D80" w:rsidRPr="001C1EEA" w:rsidRDefault="00E05D80" w:rsidP="00C26A65">
            <w:pPr>
              <w:spacing w:before="80" w:after="80"/>
              <w:ind w:left="817" w:hanging="426"/>
            </w:pPr>
            <w:r w:rsidRPr="001C1EEA">
              <w:t xml:space="preserve">(a) </w:t>
            </w:r>
            <w:r w:rsidRPr="001C1EEA">
              <w:tab/>
              <w:t xml:space="preserve">any consumer of services </w:t>
            </w:r>
            <w:r>
              <w:t>who is,</w:t>
            </w:r>
            <w:r w:rsidRPr="001C1EEA">
              <w:t xml:space="preserve"> or may be</w:t>
            </w:r>
            <w:r>
              <w:t>,</w:t>
            </w:r>
            <w:r w:rsidRPr="001C1EEA">
              <w:t xml:space="preserve"> the subject of a complaint;</w:t>
            </w:r>
          </w:p>
          <w:p w14:paraId="21325B8D" w14:textId="77777777" w:rsidR="00E05D80" w:rsidRPr="001C1EEA" w:rsidRDefault="00E05D80" w:rsidP="00C26A65">
            <w:pPr>
              <w:spacing w:before="80" w:after="80"/>
              <w:ind w:left="817" w:hanging="426"/>
            </w:pPr>
            <w:r w:rsidRPr="001C1EEA">
              <w:lastRenderedPageBreak/>
              <w:t xml:space="preserve">(b) </w:t>
            </w:r>
            <w:r w:rsidRPr="001C1EEA">
              <w:tab/>
              <w:t>any person who makes, has made, intends to make, or encourages someone else to make, a complaint; or</w:t>
            </w:r>
          </w:p>
          <w:p w14:paraId="23EEF456" w14:textId="77777777" w:rsidR="00E05D80" w:rsidRPr="001C1EEA" w:rsidRDefault="00E05D80" w:rsidP="00C26A65">
            <w:pPr>
              <w:spacing w:before="80" w:after="80"/>
              <w:ind w:left="817" w:hanging="426"/>
            </w:pPr>
            <w:r w:rsidRPr="001C1EEA">
              <w:t xml:space="preserve">(c) </w:t>
            </w:r>
            <w:r w:rsidRPr="001C1EEA">
              <w:tab/>
              <w:t>any person who provides information in support of, or relating to, a complaint.’</w:t>
            </w:r>
          </w:p>
          <w:p w14:paraId="2E0EEAE0" w14:textId="535F13A8" w:rsidR="00482845" w:rsidRDefault="00E05D80" w:rsidP="00A83FB8">
            <w:pPr>
              <w:pStyle w:val="ListParagraph"/>
              <w:numPr>
                <w:ilvl w:val="0"/>
                <w:numId w:val="25"/>
              </w:numPr>
              <w:spacing w:before="80" w:after="80" w:line="240" w:lineRule="auto"/>
              <w:contextualSpacing w:val="0"/>
            </w:pPr>
            <w:r w:rsidRPr="00582813">
              <w:rPr>
                <w:b/>
              </w:rPr>
              <w:t xml:space="preserve">HDC to consider opportunities to promote awareness </w:t>
            </w:r>
            <w:r w:rsidRPr="150AE0D0">
              <w:t xml:space="preserve">of protections </w:t>
            </w:r>
            <w:r>
              <w:t>people</w:t>
            </w:r>
            <w:r w:rsidRPr="150AE0D0">
              <w:t xml:space="preserve"> have against retaliation</w:t>
            </w:r>
            <w:r>
              <w:t>.</w:t>
            </w:r>
          </w:p>
        </w:tc>
      </w:tr>
      <w:tr w:rsidR="00305AF4" w14:paraId="06BEB399" w14:textId="77777777" w:rsidTr="004E441A">
        <w:tc>
          <w:tcPr>
            <w:tcW w:w="9330" w:type="dxa"/>
            <w:gridSpan w:val="2"/>
          </w:tcPr>
          <w:p w14:paraId="5A659980" w14:textId="5BB40817" w:rsidR="00305AF4" w:rsidRPr="00305AF4" w:rsidRDefault="00305AF4" w:rsidP="00305AF4">
            <w:pPr>
              <w:spacing w:before="80" w:after="80"/>
              <w:jc w:val="right"/>
              <w:rPr>
                <w:b/>
                <w:bCs/>
                <w:lang w:val="en-NZ" w:eastAsia="en-US"/>
              </w:rPr>
            </w:pPr>
            <w:r w:rsidRPr="006842DF">
              <w:rPr>
                <w:b/>
                <w:bCs/>
                <w:lang w:val="en-NZ" w:eastAsia="en-US"/>
              </w:rPr>
              <w:lastRenderedPageBreak/>
              <w:t>Pages</w:t>
            </w:r>
            <w:r>
              <w:rPr>
                <w:b/>
                <w:bCs/>
                <w:lang w:val="en-NZ" w:eastAsia="en-US"/>
              </w:rPr>
              <w:t xml:space="preserve">: </w:t>
            </w:r>
            <w:r>
              <w:t>25 – 27</w:t>
            </w:r>
            <w:r>
              <w:rPr>
                <w:b/>
                <w:bCs/>
                <w:lang w:val="en-NZ" w:eastAsia="en-US"/>
              </w:rPr>
              <w:t xml:space="preserve"> </w:t>
            </w:r>
          </w:p>
        </w:tc>
      </w:tr>
      <w:tr w:rsidR="00305AF4" w14:paraId="5260F4E5" w14:textId="77777777" w:rsidTr="004E441A">
        <w:tc>
          <w:tcPr>
            <w:tcW w:w="9330" w:type="dxa"/>
            <w:gridSpan w:val="2"/>
          </w:tcPr>
          <w:p w14:paraId="3E2952F9" w14:textId="1345EA52" w:rsidR="00305AF4" w:rsidRPr="001A1720" w:rsidRDefault="00305AF4" w:rsidP="00A83FB8">
            <w:pPr>
              <w:pStyle w:val="ListParagraph"/>
              <w:numPr>
                <w:ilvl w:val="0"/>
                <w:numId w:val="13"/>
              </w:numPr>
              <w:spacing w:before="80" w:after="80"/>
              <w:rPr>
                <w:color w:val="A6192E"/>
              </w:rPr>
            </w:pPr>
            <w:r w:rsidRPr="001A1720">
              <w:rPr>
                <w:color w:val="A6192E"/>
              </w:rPr>
              <w:t xml:space="preserve">Clarify provider complaints processes </w:t>
            </w:r>
          </w:p>
        </w:tc>
      </w:tr>
      <w:tr w:rsidR="007607FE" w14:paraId="5DA67081" w14:textId="77777777" w:rsidTr="004E441A">
        <w:tc>
          <w:tcPr>
            <w:tcW w:w="2294" w:type="dxa"/>
          </w:tcPr>
          <w:p w14:paraId="35F3E2C8" w14:textId="5BC0E4F5" w:rsidR="007607FE" w:rsidRPr="006842DF" w:rsidRDefault="007607FE" w:rsidP="00C26A65">
            <w:pPr>
              <w:spacing w:before="80" w:after="80"/>
              <w:jc w:val="right"/>
              <w:rPr>
                <w:b/>
                <w:bCs/>
                <w:lang w:val="en-NZ" w:eastAsia="en-US"/>
              </w:rPr>
            </w:pPr>
            <w:r w:rsidRPr="006842DF">
              <w:rPr>
                <w:b/>
                <w:bCs/>
                <w:lang w:val="en-NZ" w:eastAsia="en-US"/>
              </w:rPr>
              <w:t>Recommendations</w:t>
            </w:r>
            <w:r w:rsidR="00C16C11">
              <w:rPr>
                <w:b/>
                <w:bCs/>
                <w:lang w:val="en-NZ" w:eastAsia="en-US"/>
              </w:rPr>
              <w:t xml:space="preserve"> and response</w:t>
            </w:r>
          </w:p>
        </w:tc>
        <w:tc>
          <w:tcPr>
            <w:tcW w:w="7036" w:type="dxa"/>
          </w:tcPr>
          <w:p w14:paraId="7F4F5B05" w14:textId="77777777" w:rsidR="007607FE" w:rsidRPr="00C11E89" w:rsidRDefault="007607FE" w:rsidP="00A83FB8">
            <w:pPr>
              <w:pStyle w:val="ListParagraph"/>
              <w:numPr>
                <w:ilvl w:val="0"/>
                <w:numId w:val="26"/>
              </w:numPr>
              <w:spacing w:before="80" w:after="80"/>
              <w:contextualSpacing w:val="0"/>
            </w:pPr>
            <w:r w:rsidRPr="00C11E89">
              <w:rPr>
                <w:b/>
              </w:rPr>
              <w:t xml:space="preserve">Note </w:t>
            </w:r>
            <w:r w:rsidRPr="00C11E89">
              <w:t>that recommended changes to the purpose statement of the Act will have implications for Right 10(3) and the wording changes being considered to streamline Right 10.</w:t>
            </w:r>
          </w:p>
          <w:p w14:paraId="2263D53D" w14:textId="77777777" w:rsidR="007607FE" w:rsidRDefault="007607FE" w:rsidP="00A83FB8">
            <w:pPr>
              <w:pStyle w:val="ListParagraph"/>
              <w:numPr>
                <w:ilvl w:val="0"/>
                <w:numId w:val="26"/>
              </w:numPr>
              <w:spacing w:before="80" w:after="80"/>
              <w:contextualSpacing w:val="0"/>
            </w:pPr>
            <w:r w:rsidRPr="00C11E89">
              <w:rPr>
                <w:b/>
              </w:rPr>
              <w:t xml:space="preserve">HDC to </w:t>
            </w:r>
            <w:r>
              <w:rPr>
                <w:b/>
              </w:rPr>
              <w:t>ensure that</w:t>
            </w:r>
            <w:r w:rsidRPr="00C11E89">
              <w:t xml:space="preserve"> finalisation of </w:t>
            </w:r>
            <w:r>
              <w:t>the</w:t>
            </w:r>
            <w:r w:rsidRPr="00C11E89">
              <w:t xml:space="preserve"> </w:t>
            </w:r>
            <w:r w:rsidRPr="150AE0D0">
              <w:t>revised</w:t>
            </w:r>
            <w:r w:rsidRPr="00C11E89">
              <w:t xml:space="preserve"> wording of Right 10 </w:t>
            </w:r>
            <w:r w:rsidRPr="00752D3C">
              <w:t>occurs</w:t>
            </w:r>
            <w:r w:rsidRPr="00C11E89">
              <w:t xml:space="preserve"> in parallel with revised wording of </w:t>
            </w:r>
            <w:r>
              <w:t xml:space="preserve">section 6 of the </w:t>
            </w:r>
            <w:r w:rsidRPr="00C11E89">
              <w:t xml:space="preserve">HDC Act, or </w:t>
            </w:r>
            <w:r w:rsidRPr="603F7CA7">
              <w:t>at</w:t>
            </w:r>
            <w:r w:rsidRPr="55C05D34">
              <w:t xml:space="preserve"> </w:t>
            </w:r>
            <w:r w:rsidRPr="00C11E89">
              <w:t xml:space="preserve">the next review, whichever is earliest.   </w:t>
            </w:r>
          </w:p>
          <w:p w14:paraId="684FEF91" w14:textId="3BB92CA1" w:rsidR="007607FE" w:rsidRDefault="007607FE" w:rsidP="00A83FB8">
            <w:pPr>
              <w:pStyle w:val="ListParagraph"/>
              <w:numPr>
                <w:ilvl w:val="0"/>
                <w:numId w:val="26"/>
              </w:numPr>
              <w:spacing w:before="80" w:after="80"/>
              <w:contextualSpacing w:val="0"/>
            </w:pPr>
            <w:r w:rsidRPr="00AC780C">
              <w:rPr>
                <w:b/>
              </w:rPr>
              <w:t xml:space="preserve">HDC to share feedback </w:t>
            </w:r>
            <w:r w:rsidRPr="150AE0D0">
              <w:t>from this review</w:t>
            </w:r>
            <w:r w:rsidRPr="00AC780C">
              <w:rPr>
                <w:b/>
              </w:rPr>
              <w:t xml:space="preserve"> </w:t>
            </w:r>
            <w:r w:rsidRPr="150AE0D0">
              <w:t>with the Ministry of Health</w:t>
            </w:r>
            <w:r>
              <w:t xml:space="preserve">, Whaikaha (Ministry of Disabled People), </w:t>
            </w:r>
            <w:r w:rsidRPr="150AE0D0">
              <w:t>Health NZ</w:t>
            </w:r>
            <w:r>
              <w:t xml:space="preserve">, </w:t>
            </w:r>
            <w:r w:rsidRPr="150AE0D0">
              <w:t>Ministry of Social Development</w:t>
            </w:r>
            <w:r>
              <w:t>, HQSC,</w:t>
            </w:r>
            <w:r w:rsidRPr="150AE0D0">
              <w:t xml:space="preserve"> and other relevant organisations, to support improvement of the visibility, consistency</w:t>
            </w:r>
            <w:r>
              <w:t>,</w:t>
            </w:r>
            <w:r w:rsidRPr="150AE0D0">
              <w:t xml:space="preserve"> and quality of provider complaint processes.</w:t>
            </w:r>
          </w:p>
        </w:tc>
      </w:tr>
      <w:tr w:rsidR="00305AF4" w14:paraId="141616FC" w14:textId="77777777" w:rsidTr="004E441A">
        <w:tc>
          <w:tcPr>
            <w:tcW w:w="9330" w:type="dxa"/>
            <w:gridSpan w:val="2"/>
          </w:tcPr>
          <w:p w14:paraId="36B9E1BE" w14:textId="1D198556" w:rsidR="00305AF4" w:rsidRPr="00305AF4" w:rsidRDefault="00305AF4" w:rsidP="00305AF4">
            <w:pPr>
              <w:spacing w:before="80" w:after="80"/>
              <w:jc w:val="right"/>
              <w:rPr>
                <w:b/>
                <w:bCs/>
                <w:lang w:val="en-NZ" w:eastAsia="en-US"/>
              </w:rPr>
            </w:pPr>
            <w:r w:rsidRPr="006842DF">
              <w:rPr>
                <w:b/>
                <w:bCs/>
                <w:lang w:val="en-NZ" w:eastAsia="en-US"/>
              </w:rPr>
              <w:t>Pages</w:t>
            </w:r>
            <w:r>
              <w:rPr>
                <w:b/>
                <w:bCs/>
                <w:lang w:val="en-NZ" w:eastAsia="en-US"/>
              </w:rPr>
              <w:t xml:space="preserve">: </w:t>
            </w:r>
            <w:r>
              <w:t>27 – 28</w:t>
            </w:r>
            <w:r>
              <w:rPr>
                <w:b/>
                <w:bCs/>
                <w:lang w:val="en-NZ" w:eastAsia="en-US"/>
              </w:rPr>
              <w:t xml:space="preserve"> </w:t>
            </w:r>
          </w:p>
        </w:tc>
      </w:tr>
      <w:tr w:rsidR="00305AF4" w14:paraId="6C9AA495" w14:textId="77777777" w:rsidTr="004E441A">
        <w:tc>
          <w:tcPr>
            <w:tcW w:w="9330" w:type="dxa"/>
            <w:gridSpan w:val="2"/>
          </w:tcPr>
          <w:p w14:paraId="7E891940" w14:textId="5C6FD9F2" w:rsidR="00305AF4" w:rsidRPr="00063B48" w:rsidRDefault="00305AF4" w:rsidP="00A83FB8">
            <w:pPr>
              <w:pStyle w:val="ListParagraph"/>
              <w:numPr>
                <w:ilvl w:val="0"/>
                <w:numId w:val="13"/>
              </w:numPr>
              <w:spacing w:before="80" w:after="80"/>
              <w:rPr>
                <w:color w:val="A6192E"/>
              </w:rPr>
            </w:pPr>
            <w:r w:rsidRPr="00063B48">
              <w:rPr>
                <w:color w:val="A6192E"/>
              </w:rPr>
              <w:t xml:space="preserve">Strengthen advocacy services </w:t>
            </w:r>
          </w:p>
        </w:tc>
      </w:tr>
      <w:tr w:rsidR="007607FE" w14:paraId="08A7688D" w14:textId="77777777" w:rsidTr="004E441A">
        <w:tc>
          <w:tcPr>
            <w:tcW w:w="2294" w:type="dxa"/>
          </w:tcPr>
          <w:p w14:paraId="61CC083A" w14:textId="599822FF" w:rsidR="007607FE" w:rsidRPr="006842DF" w:rsidRDefault="00992A2A"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05B7679D" w14:textId="77777777" w:rsidR="007607FE" w:rsidRPr="00C11E89" w:rsidRDefault="007607FE" w:rsidP="00A83FB8">
            <w:pPr>
              <w:pStyle w:val="ListParagraph"/>
              <w:numPr>
                <w:ilvl w:val="0"/>
                <w:numId w:val="50"/>
              </w:numPr>
              <w:spacing w:before="80" w:after="80"/>
              <w:ind w:left="295" w:hanging="284"/>
              <w:contextualSpacing w:val="0"/>
              <w:rPr>
                <w:lang w:val="en-US"/>
              </w:rPr>
            </w:pPr>
            <w:r w:rsidRPr="150AE0D0">
              <w:rPr>
                <w:b/>
              </w:rPr>
              <w:t xml:space="preserve">HDC and the Director of Advocacy to consider opportunities to improve communication and education </w:t>
            </w:r>
            <w:r w:rsidRPr="150AE0D0">
              <w:t xml:space="preserve">to consumers and providers about the role of </w:t>
            </w:r>
            <w:r>
              <w:t>advocacy services</w:t>
            </w:r>
            <w:r w:rsidRPr="150AE0D0">
              <w:t xml:space="preserve"> and the benefits of involving an advocate in the complaint</w:t>
            </w:r>
            <w:r>
              <w:t>s</w:t>
            </w:r>
            <w:r w:rsidRPr="150AE0D0">
              <w:t xml:space="preserve"> resolution </w:t>
            </w:r>
            <w:r w:rsidRPr="00C11E89">
              <w:t>process</w:t>
            </w:r>
            <w:r w:rsidRPr="150AE0D0">
              <w:t>.</w:t>
            </w:r>
          </w:p>
          <w:p w14:paraId="680EAC1A" w14:textId="77777777" w:rsidR="007607FE" w:rsidRPr="00CF7CF8" w:rsidRDefault="007607FE" w:rsidP="00A83FB8">
            <w:pPr>
              <w:pStyle w:val="ListParagraph"/>
              <w:numPr>
                <w:ilvl w:val="0"/>
                <w:numId w:val="50"/>
              </w:numPr>
              <w:spacing w:before="80" w:after="80"/>
              <w:ind w:left="295" w:hanging="284"/>
              <w:contextualSpacing w:val="0"/>
              <w:rPr>
                <w:lang w:val="en-US"/>
              </w:rPr>
            </w:pPr>
            <w:r w:rsidRPr="150AE0D0">
              <w:rPr>
                <w:b/>
              </w:rPr>
              <w:t>HDC and the Director of Advocacy to consider opportunities</w:t>
            </w:r>
            <w:r w:rsidRPr="150AE0D0">
              <w:t xml:space="preserve"> for HDC and </w:t>
            </w:r>
            <w:r>
              <w:t>advocacy services</w:t>
            </w:r>
            <w:r w:rsidRPr="150AE0D0">
              <w:t xml:space="preserve"> to identify more effective and efficient </w:t>
            </w:r>
            <w:r w:rsidRPr="00C11E89">
              <w:t>ways</w:t>
            </w:r>
            <w:r w:rsidRPr="150AE0D0">
              <w:t xml:space="preserve"> of working</w:t>
            </w:r>
            <w:r>
              <w:t xml:space="preserve"> together</w:t>
            </w:r>
            <w:r w:rsidRPr="150AE0D0">
              <w:t>.</w:t>
            </w:r>
          </w:p>
          <w:p w14:paraId="6B6479F4" w14:textId="4E17F429" w:rsidR="007607FE" w:rsidRPr="00F646DA" w:rsidRDefault="007607FE" w:rsidP="00A83FB8">
            <w:pPr>
              <w:pStyle w:val="ListParagraph"/>
              <w:numPr>
                <w:ilvl w:val="0"/>
                <w:numId w:val="50"/>
              </w:numPr>
              <w:spacing w:before="80" w:after="80"/>
              <w:ind w:left="295" w:hanging="284"/>
              <w:contextualSpacing w:val="0"/>
              <w:rPr>
                <w:lang w:val="en-US"/>
              </w:rPr>
            </w:pPr>
            <w:r>
              <w:rPr>
                <w:b/>
              </w:rPr>
              <w:t xml:space="preserve">Director of Advocacy </w:t>
            </w:r>
            <w:r w:rsidRPr="00CF7CF8">
              <w:rPr>
                <w:b/>
              </w:rPr>
              <w:t>to explore with advocacy services any operational changes</w:t>
            </w:r>
            <w:r w:rsidRPr="150AE0D0">
              <w:t xml:space="preserve"> that can be made within current </w:t>
            </w:r>
            <w:r>
              <w:t>resourcing to respond to feedback provided during this review</w:t>
            </w:r>
            <w:r w:rsidRPr="150AE0D0">
              <w:t>.</w:t>
            </w:r>
          </w:p>
        </w:tc>
      </w:tr>
      <w:tr w:rsidR="00305AF4" w14:paraId="23602D6E" w14:textId="77777777" w:rsidTr="004E441A">
        <w:tc>
          <w:tcPr>
            <w:tcW w:w="9330" w:type="dxa"/>
            <w:gridSpan w:val="2"/>
          </w:tcPr>
          <w:p w14:paraId="5F57B677" w14:textId="3DBB996E" w:rsidR="00305AF4" w:rsidRPr="006842DF" w:rsidRDefault="00305AF4" w:rsidP="00C26A65">
            <w:pPr>
              <w:spacing w:before="80" w:after="80"/>
              <w:jc w:val="right"/>
              <w:rPr>
                <w:b/>
                <w:bCs/>
                <w:lang w:val="en-NZ" w:eastAsia="en-US"/>
              </w:rPr>
            </w:pPr>
            <w:r w:rsidRPr="006842DF">
              <w:rPr>
                <w:b/>
                <w:bCs/>
                <w:lang w:val="en-NZ" w:eastAsia="en-US"/>
              </w:rPr>
              <w:t>Pages</w:t>
            </w:r>
            <w:r>
              <w:rPr>
                <w:b/>
                <w:bCs/>
                <w:lang w:val="en-NZ" w:eastAsia="en-US"/>
              </w:rPr>
              <w:t xml:space="preserve">: </w:t>
            </w:r>
            <w:r>
              <w:t>28 – 29</w:t>
            </w:r>
            <w:r>
              <w:rPr>
                <w:b/>
                <w:bCs/>
                <w:lang w:val="en-NZ" w:eastAsia="en-US"/>
              </w:rPr>
              <w:t xml:space="preserve"> </w:t>
            </w:r>
          </w:p>
          <w:p w14:paraId="5F498AD6" w14:textId="166D27B8" w:rsidR="00305AF4" w:rsidRDefault="00305AF4" w:rsidP="00C26A65">
            <w:pPr>
              <w:spacing w:before="80" w:after="80"/>
            </w:pPr>
          </w:p>
        </w:tc>
      </w:tr>
      <w:tr w:rsidR="00305AF4" w14:paraId="694D072E" w14:textId="77777777" w:rsidTr="004E441A">
        <w:tc>
          <w:tcPr>
            <w:tcW w:w="9330" w:type="dxa"/>
            <w:gridSpan w:val="2"/>
          </w:tcPr>
          <w:p w14:paraId="1D5BE42B" w14:textId="6375314F" w:rsidR="00305AF4" w:rsidRPr="00F116E6" w:rsidRDefault="00305AF4" w:rsidP="008B3CB1">
            <w:pPr>
              <w:pStyle w:val="ListParagraph"/>
              <w:numPr>
                <w:ilvl w:val="0"/>
                <w:numId w:val="13"/>
              </w:numPr>
              <w:spacing w:before="120" w:after="80"/>
              <w:ind w:left="714" w:hanging="357"/>
              <w:rPr>
                <w:color w:val="A6192E"/>
              </w:rPr>
            </w:pPr>
            <w:r w:rsidRPr="00063B48">
              <w:rPr>
                <w:color w:val="A6192E"/>
              </w:rPr>
              <w:lastRenderedPageBreak/>
              <w:t>Improve the language of complaint pathways in the Act</w:t>
            </w:r>
          </w:p>
        </w:tc>
      </w:tr>
      <w:tr w:rsidR="007607FE" w14:paraId="33A40FA3" w14:textId="77777777" w:rsidTr="004E441A">
        <w:tc>
          <w:tcPr>
            <w:tcW w:w="2294" w:type="dxa"/>
          </w:tcPr>
          <w:p w14:paraId="6EEF8735" w14:textId="39F24644" w:rsidR="007607FE" w:rsidRPr="006842DF" w:rsidRDefault="00992A2A"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1F4DC8D2" w14:textId="77777777" w:rsidR="00F646DA" w:rsidRPr="00473F66" w:rsidRDefault="00F646DA" w:rsidP="00A83FB8">
            <w:pPr>
              <w:pStyle w:val="ListParagraph"/>
              <w:keepNext/>
              <w:keepLines/>
              <w:numPr>
                <w:ilvl w:val="0"/>
                <w:numId w:val="49"/>
              </w:numPr>
              <w:spacing w:before="80" w:after="80"/>
              <w:contextualSpacing w:val="0"/>
              <w:rPr>
                <w:lang w:val="en-US"/>
              </w:rPr>
            </w:pPr>
            <w:r w:rsidRPr="150AE0D0">
              <w:rPr>
                <w:b/>
              </w:rPr>
              <w:t>Confirm proposed wording</w:t>
            </w:r>
            <w:r w:rsidRPr="150AE0D0">
              <w:t xml:space="preserve"> of </w:t>
            </w:r>
            <w:r>
              <w:t>section 61 to replace ‘mediation conference’ with ‘facilitated resolution’</w:t>
            </w:r>
            <w:r w:rsidRPr="150AE0D0">
              <w:t>.</w:t>
            </w:r>
          </w:p>
          <w:p w14:paraId="7622E47A" w14:textId="3B912E71" w:rsidR="007607FE" w:rsidRPr="00F646DA" w:rsidRDefault="00F646DA" w:rsidP="00A83FB8">
            <w:pPr>
              <w:pStyle w:val="ListParagraph"/>
              <w:keepNext/>
              <w:keepLines/>
              <w:numPr>
                <w:ilvl w:val="0"/>
                <w:numId w:val="49"/>
              </w:numPr>
              <w:spacing w:before="80" w:after="80"/>
              <w:contextualSpacing w:val="0"/>
              <w:rPr>
                <w:lang w:val="en-US"/>
              </w:rPr>
            </w:pPr>
            <w:r>
              <w:rPr>
                <w:b/>
              </w:rPr>
              <w:t xml:space="preserve">HDC </w:t>
            </w:r>
            <w:r w:rsidRPr="00473F66">
              <w:rPr>
                <w:b/>
              </w:rPr>
              <w:t xml:space="preserve">to review </w:t>
            </w:r>
            <w:r w:rsidRPr="00473F66">
              <w:rPr>
                <w:bCs/>
              </w:rPr>
              <w:t>and improve its communication in response to feedback provided during this review.</w:t>
            </w:r>
          </w:p>
        </w:tc>
      </w:tr>
      <w:tr w:rsidR="00986237" w14:paraId="7C3CA884" w14:textId="77777777" w:rsidTr="004E441A">
        <w:tc>
          <w:tcPr>
            <w:tcW w:w="9330" w:type="dxa"/>
            <w:gridSpan w:val="2"/>
          </w:tcPr>
          <w:p w14:paraId="43C51ED5" w14:textId="59DD5FA7" w:rsidR="00986237" w:rsidRPr="00986237" w:rsidRDefault="00986237" w:rsidP="00986237">
            <w:pPr>
              <w:spacing w:before="80" w:after="80"/>
              <w:jc w:val="right"/>
              <w:rPr>
                <w:b/>
                <w:bCs/>
                <w:lang w:val="en-NZ" w:eastAsia="en-US"/>
              </w:rPr>
            </w:pPr>
            <w:r w:rsidRPr="006842DF">
              <w:rPr>
                <w:b/>
                <w:bCs/>
                <w:lang w:val="en-NZ" w:eastAsia="en-US"/>
              </w:rPr>
              <w:t>Pages</w:t>
            </w:r>
            <w:r>
              <w:rPr>
                <w:b/>
                <w:bCs/>
                <w:lang w:val="en-NZ" w:eastAsia="en-US"/>
              </w:rPr>
              <w:t xml:space="preserve">: </w:t>
            </w:r>
            <w:r>
              <w:t>29 – 30</w:t>
            </w:r>
            <w:r>
              <w:rPr>
                <w:b/>
                <w:bCs/>
                <w:lang w:val="en-NZ" w:eastAsia="en-US"/>
              </w:rPr>
              <w:t xml:space="preserve"> </w:t>
            </w:r>
          </w:p>
        </w:tc>
      </w:tr>
      <w:tr w:rsidR="00986237" w14:paraId="5F8ADB3C" w14:textId="77777777" w:rsidTr="004E441A">
        <w:tc>
          <w:tcPr>
            <w:tcW w:w="9330" w:type="dxa"/>
            <w:gridSpan w:val="2"/>
          </w:tcPr>
          <w:p w14:paraId="27AE29EB" w14:textId="7C82F7DF" w:rsidR="00986237" w:rsidRPr="00F41347" w:rsidRDefault="00986237" w:rsidP="00600256">
            <w:pPr>
              <w:spacing w:before="80" w:after="80"/>
              <w:ind w:left="306"/>
              <w:rPr>
                <w:b/>
                <w:bCs/>
              </w:rPr>
            </w:pPr>
            <w:r w:rsidRPr="00F41347">
              <w:rPr>
                <w:color w:val="A6192E"/>
              </w:rPr>
              <w:t>Other feedback to support better and equitable complaints resolution</w:t>
            </w:r>
            <w:r w:rsidRPr="00F41347">
              <w:rPr>
                <w:b/>
                <w:bCs/>
              </w:rPr>
              <w:t xml:space="preserve"> </w:t>
            </w:r>
          </w:p>
        </w:tc>
      </w:tr>
      <w:tr w:rsidR="007607FE" w14:paraId="2DBF00F8" w14:textId="77777777" w:rsidTr="004E441A">
        <w:tc>
          <w:tcPr>
            <w:tcW w:w="2294" w:type="dxa"/>
          </w:tcPr>
          <w:p w14:paraId="64D0BA7D" w14:textId="727C19D7" w:rsidR="007607FE" w:rsidRPr="006842DF" w:rsidRDefault="00992A2A" w:rsidP="00C26A65">
            <w:pPr>
              <w:spacing w:before="80" w:after="80"/>
              <w:jc w:val="right"/>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202F74B0" w14:textId="77777777" w:rsidR="00F646DA" w:rsidRPr="00503C85" w:rsidRDefault="00F646DA" w:rsidP="00A83FB8">
            <w:pPr>
              <w:pStyle w:val="ListParagraph"/>
              <w:numPr>
                <w:ilvl w:val="0"/>
                <w:numId w:val="48"/>
              </w:numPr>
              <w:spacing w:before="80" w:after="80"/>
              <w:contextualSpacing w:val="0"/>
              <w:rPr>
                <w:b/>
              </w:rPr>
            </w:pPr>
            <w:r w:rsidRPr="00503C85">
              <w:rPr>
                <w:b/>
              </w:rPr>
              <w:t xml:space="preserve">Note </w:t>
            </w:r>
            <w:r w:rsidRPr="00503C85">
              <w:rPr>
                <w:bCs/>
              </w:rPr>
              <w:t xml:space="preserve">that most of the suggested changes are already being addressed by HDC’s current work or existing provisions in the Act and </w:t>
            </w:r>
            <w:r>
              <w:rPr>
                <w:bCs/>
              </w:rPr>
              <w:t xml:space="preserve">the </w:t>
            </w:r>
            <w:r w:rsidRPr="00503C85">
              <w:rPr>
                <w:bCs/>
              </w:rPr>
              <w:t>Code.</w:t>
            </w:r>
            <w:r w:rsidRPr="00503C85">
              <w:rPr>
                <w:b/>
              </w:rPr>
              <w:t xml:space="preserve"> </w:t>
            </w:r>
          </w:p>
          <w:p w14:paraId="579C3F34" w14:textId="77777777" w:rsidR="00F646DA" w:rsidRPr="00A05D11" w:rsidRDefault="00F646DA" w:rsidP="00A83FB8">
            <w:pPr>
              <w:pStyle w:val="ListParagraph"/>
              <w:numPr>
                <w:ilvl w:val="0"/>
                <w:numId w:val="48"/>
              </w:numPr>
              <w:spacing w:before="80" w:after="80"/>
              <w:contextualSpacing w:val="0"/>
              <w:rPr>
                <w:b/>
              </w:rPr>
            </w:pPr>
            <w:r w:rsidRPr="00503C85">
              <w:rPr>
                <w:b/>
              </w:rPr>
              <w:t xml:space="preserve">HDC to consider feedback </w:t>
            </w:r>
            <w:r w:rsidRPr="00503C85">
              <w:rPr>
                <w:bCs/>
              </w:rPr>
              <w:t xml:space="preserve">as part of </w:t>
            </w:r>
            <w:r w:rsidRPr="00980A18">
              <w:t>it</w:t>
            </w:r>
            <w:r>
              <w:t>s</w:t>
            </w:r>
            <w:r w:rsidRPr="00980A18">
              <w:t xml:space="preserve"> </w:t>
            </w:r>
            <w:r w:rsidRPr="00980A18">
              <w:rPr>
                <w:bCs/>
              </w:rPr>
              <w:t>continu</w:t>
            </w:r>
            <w:r w:rsidRPr="007B097A">
              <w:rPr>
                <w:bCs/>
              </w:rPr>
              <w:t>ous</w:t>
            </w:r>
            <w:r w:rsidRPr="00503C85">
              <w:rPr>
                <w:bCs/>
              </w:rPr>
              <w:t xml:space="preserve"> improvement programme. </w:t>
            </w:r>
          </w:p>
          <w:p w14:paraId="368F2D06" w14:textId="713ACA48" w:rsidR="007607FE" w:rsidRPr="00F646DA" w:rsidRDefault="00F646DA" w:rsidP="00A83FB8">
            <w:pPr>
              <w:pStyle w:val="ListParagraph"/>
              <w:numPr>
                <w:ilvl w:val="0"/>
                <w:numId w:val="48"/>
              </w:numPr>
              <w:spacing w:before="80" w:after="80"/>
              <w:contextualSpacing w:val="0"/>
              <w:rPr>
                <w:b/>
              </w:rPr>
            </w:pPr>
            <w:r w:rsidRPr="00F646DA">
              <w:rPr>
                <w:b/>
              </w:rPr>
              <w:t xml:space="preserve">Ministry of Health </w:t>
            </w:r>
            <w:r w:rsidR="005F6837">
              <w:rPr>
                <w:b/>
              </w:rPr>
              <w:t xml:space="preserve">to </w:t>
            </w:r>
            <w:r w:rsidRPr="00F646DA">
              <w:rPr>
                <w:b/>
              </w:rPr>
              <w:t>explore</w:t>
            </w:r>
            <w:r w:rsidRPr="00503C85">
              <w:rPr>
                <w:bCs/>
              </w:rPr>
              <w:t xml:space="preserve"> </w:t>
            </w:r>
            <w:r>
              <w:rPr>
                <w:bCs/>
              </w:rPr>
              <w:t>clarifying</w:t>
            </w:r>
            <w:r w:rsidRPr="00503C85">
              <w:rPr>
                <w:bCs/>
              </w:rPr>
              <w:t xml:space="preserve"> HDC’s jurisdiction </w:t>
            </w:r>
            <w:r>
              <w:rPr>
                <w:bCs/>
              </w:rPr>
              <w:t>in relation</w:t>
            </w:r>
            <w:r w:rsidRPr="00503C85">
              <w:rPr>
                <w:bCs/>
              </w:rPr>
              <w:t xml:space="preserve"> </w:t>
            </w:r>
            <w:r>
              <w:rPr>
                <w:bCs/>
              </w:rPr>
              <w:t xml:space="preserve">to </w:t>
            </w:r>
            <w:r w:rsidRPr="00503C85">
              <w:rPr>
                <w:bCs/>
              </w:rPr>
              <w:t>specific situations</w:t>
            </w:r>
            <w:r>
              <w:rPr>
                <w:bCs/>
              </w:rPr>
              <w:t xml:space="preserve"> after the death of a consumer</w:t>
            </w:r>
            <w:r w:rsidRPr="00503C85">
              <w:rPr>
                <w:bCs/>
              </w:rPr>
              <w:t>.</w:t>
            </w:r>
          </w:p>
        </w:tc>
      </w:tr>
      <w:tr w:rsidR="00986237" w14:paraId="0BD1E5AB" w14:textId="77777777" w:rsidTr="004E441A">
        <w:tc>
          <w:tcPr>
            <w:tcW w:w="9330" w:type="dxa"/>
            <w:gridSpan w:val="2"/>
          </w:tcPr>
          <w:p w14:paraId="27DAB156" w14:textId="4E727C47" w:rsidR="00986237" w:rsidRPr="00986237" w:rsidRDefault="00986237" w:rsidP="00986237">
            <w:pPr>
              <w:spacing w:before="80" w:after="80"/>
              <w:jc w:val="right"/>
              <w:rPr>
                <w:b/>
                <w:bCs/>
                <w:lang w:val="en-NZ" w:eastAsia="en-US"/>
              </w:rPr>
            </w:pPr>
            <w:r w:rsidRPr="006842DF">
              <w:rPr>
                <w:b/>
                <w:bCs/>
                <w:lang w:val="en-NZ" w:eastAsia="en-US"/>
              </w:rPr>
              <w:t>Pages</w:t>
            </w:r>
            <w:r>
              <w:rPr>
                <w:b/>
                <w:bCs/>
                <w:lang w:val="en-NZ" w:eastAsia="en-US"/>
              </w:rPr>
              <w:t xml:space="preserve">: </w:t>
            </w:r>
            <w:r>
              <w:t>30 – 33</w:t>
            </w:r>
          </w:p>
        </w:tc>
      </w:tr>
    </w:tbl>
    <w:p w14:paraId="3039BEFD" w14:textId="77777777" w:rsidR="00B664B0" w:rsidRDefault="00B664B0" w:rsidP="00B664B0">
      <w:pPr>
        <w:rPr>
          <w:lang w:val="en-NZ" w:eastAsia="en-US"/>
        </w:rPr>
      </w:pPr>
    </w:p>
    <w:p w14:paraId="78B0EDBB" w14:textId="77777777" w:rsidR="003B74D1" w:rsidRDefault="003B74D1" w:rsidP="008722E0">
      <w:pPr>
        <w:pStyle w:val="Heading2"/>
        <w:rPr>
          <w:rFonts w:ascii="Aptos" w:hAnsi="Aptos" w:cs="Arial"/>
          <w:b/>
          <w:bCs/>
          <w:color w:val="A6192E"/>
          <w:sz w:val="28"/>
          <w:szCs w:val="48"/>
          <w:lang w:val="en-NZ" w:eastAsia="en-US"/>
        </w:rPr>
      </w:pPr>
      <w:bookmarkStart w:id="1" w:name="_Toc185331969"/>
    </w:p>
    <w:p w14:paraId="08EFB4A5" w14:textId="77777777" w:rsidR="003B74D1" w:rsidRDefault="003B74D1" w:rsidP="003B74D1">
      <w:pPr>
        <w:rPr>
          <w:lang w:val="en-NZ" w:eastAsia="en-US"/>
        </w:rPr>
      </w:pPr>
    </w:p>
    <w:p w14:paraId="1BC26F49" w14:textId="77777777" w:rsidR="005A62A8" w:rsidRDefault="005A62A8" w:rsidP="003B74D1">
      <w:pPr>
        <w:rPr>
          <w:lang w:val="en-NZ" w:eastAsia="en-US"/>
        </w:rPr>
      </w:pPr>
    </w:p>
    <w:p w14:paraId="1D862716" w14:textId="77777777" w:rsidR="005A62A8" w:rsidRDefault="005A62A8" w:rsidP="003B74D1">
      <w:pPr>
        <w:rPr>
          <w:lang w:val="en-NZ" w:eastAsia="en-US"/>
        </w:rPr>
      </w:pPr>
    </w:p>
    <w:p w14:paraId="4C15FD66" w14:textId="77777777" w:rsidR="003B74D1" w:rsidRDefault="003B74D1" w:rsidP="003B74D1">
      <w:pPr>
        <w:rPr>
          <w:lang w:val="en-NZ" w:eastAsia="en-US"/>
        </w:rPr>
      </w:pPr>
    </w:p>
    <w:p w14:paraId="54E79587" w14:textId="77777777" w:rsidR="00C26A65" w:rsidRDefault="00C26A65" w:rsidP="003B74D1">
      <w:pPr>
        <w:rPr>
          <w:lang w:val="en-NZ" w:eastAsia="en-US"/>
        </w:rPr>
      </w:pPr>
    </w:p>
    <w:p w14:paraId="2EC33C78" w14:textId="77777777" w:rsidR="00C26A65" w:rsidRDefault="00C26A65" w:rsidP="003B74D1">
      <w:pPr>
        <w:rPr>
          <w:lang w:val="en-NZ" w:eastAsia="en-US"/>
        </w:rPr>
      </w:pPr>
    </w:p>
    <w:p w14:paraId="283A08DA" w14:textId="77777777" w:rsidR="00C26A65" w:rsidRDefault="00C26A65" w:rsidP="003B74D1">
      <w:pPr>
        <w:rPr>
          <w:lang w:val="en-NZ" w:eastAsia="en-US"/>
        </w:rPr>
      </w:pPr>
    </w:p>
    <w:p w14:paraId="1D52D78B" w14:textId="77777777" w:rsidR="00C26A65" w:rsidRDefault="00C26A65" w:rsidP="003B74D1">
      <w:pPr>
        <w:rPr>
          <w:lang w:val="en-NZ" w:eastAsia="en-US"/>
        </w:rPr>
      </w:pPr>
    </w:p>
    <w:p w14:paraId="0D1263E0" w14:textId="77777777" w:rsidR="00C26A65" w:rsidRDefault="00C26A65" w:rsidP="003B74D1">
      <w:pPr>
        <w:rPr>
          <w:lang w:val="en-NZ" w:eastAsia="en-US"/>
        </w:rPr>
      </w:pPr>
    </w:p>
    <w:p w14:paraId="58F50E56" w14:textId="77777777" w:rsidR="00C26A65" w:rsidRPr="003B74D1" w:rsidRDefault="00C26A65" w:rsidP="003B74D1">
      <w:pPr>
        <w:rPr>
          <w:lang w:val="en-NZ" w:eastAsia="en-US"/>
        </w:rPr>
      </w:pPr>
    </w:p>
    <w:p w14:paraId="1A804354" w14:textId="09F43564" w:rsidR="008722E0" w:rsidRDefault="008722E0" w:rsidP="008722E0">
      <w:pPr>
        <w:pStyle w:val="Heading2"/>
        <w:rPr>
          <w:rFonts w:ascii="Aptos" w:hAnsi="Aptos" w:cs="Arial"/>
          <w:b/>
          <w:bCs/>
          <w:color w:val="A6192E"/>
          <w:sz w:val="28"/>
          <w:szCs w:val="48"/>
          <w:lang w:val="en-NZ" w:eastAsia="en-US"/>
        </w:rPr>
      </w:pPr>
      <w:r w:rsidRPr="008722E0">
        <w:rPr>
          <w:rFonts w:ascii="Aptos" w:hAnsi="Aptos" w:cs="Arial"/>
          <w:b/>
          <w:bCs/>
          <w:color w:val="A6192E"/>
          <w:sz w:val="28"/>
          <w:szCs w:val="48"/>
          <w:lang w:val="en-NZ" w:eastAsia="en-US"/>
        </w:rPr>
        <w:lastRenderedPageBreak/>
        <w:t>Topic 2: Making the Act and the Code effective for, and responsive to, the needs of Māori</w:t>
      </w:r>
      <w:bookmarkEnd w:id="1"/>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294"/>
        <w:gridCol w:w="7056"/>
      </w:tblGrid>
      <w:tr w:rsidR="008E3986" w14:paraId="27452FA9" w14:textId="77777777" w:rsidTr="00381E2E">
        <w:tc>
          <w:tcPr>
            <w:tcW w:w="9350" w:type="dxa"/>
            <w:gridSpan w:val="2"/>
            <w:tcBorders>
              <w:top w:val="single" w:sz="12" w:space="0" w:color="auto"/>
              <w:left w:val="single" w:sz="12" w:space="0" w:color="auto"/>
              <w:bottom w:val="nil"/>
              <w:right w:val="single" w:sz="12" w:space="0" w:color="auto"/>
            </w:tcBorders>
          </w:tcPr>
          <w:p w14:paraId="72830434" w14:textId="187CE9CA" w:rsidR="008E3986" w:rsidRPr="005A62A8" w:rsidRDefault="008E3986" w:rsidP="008B3CB1">
            <w:pPr>
              <w:pStyle w:val="ListParagraph"/>
              <w:numPr>
                <w:ilvl w:val="0"/>
                <w:numId w:val="52"/>
              </w:numPr>
              <w:spacing w:before="120" w:after="80"/>
              <w:ind w:left="714" w:hanging="357"/>
              <w:rPr>
                <w:color w:val="A6192E"/>
              </w:rPr>
            </w:pPr>
            <w:r w:rsidRPr="005A62A8">
              <w:rPr>
                <w:color w:val="A6192E"/>
              </w:rPr>
              <w:t xml:space="preserve">Incorporate tikanga into the Code </w:t>
            </w:r>
          </w:p>
        </w:tc>
      </w:tr>
      <w:tr w:rsidR="00B06AA1" w14:paraId="1B781731" w14:textId="77777777" w:rsidTr="00381E2E">
        <w:tc>
          <w:tcPr>
            <w:tcW w:w="2294" w:type="dxa"/>
            <w:tcBorders>
              <w:top w:val="nil"/>
              <w:left w:val="single" w:sz="12" w:space="0" w:color="auto"/>
              <w:bottom w:val="nil"/>
            </w:tcBorders>
          </w:tcPr>
          <w:p w14:paraId="2442281C" w14:textId="1B3C1D9A" w:rsidR="00B06AA1" w:rsidRDefault="00992A2A" w:rsidP="00C26A65">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Borders>
              <w:top w:val="nil"/>
              <w:bottom w:val="nil"/>
              <w:right w:val="single" w:sz="12" w:space="0" w:color="auto"/>
            </w:tcBorders>
          </w:tcPr>
          <w:p w14:paraId="7445663A" w14:textId="77777777" w:rsidR="00B06AA1" w:rsidRPr="00253C4F" w:rsidRDefault="00B06AA1" w:rsidP="00A83FB8">
            <w:pPr>
              <w:pStyle w:val="ListParagraph"/>
              <w:numPr>
                <w:ilvl w:val="0"/>
                <w:numId w:val="47"/>
              </w:numPr>
              <w:spacing w:before="80" w:after="80"/>
              <w:contextualSpacing w:val="0"/>
              <w:rPr>
                <w:bCs/>
              </w:rPr>
            </w:pPr>
            <w:r w:rsidRPr="00046709">
              <w:rPr>
                <w:b/>
              </w:rPr>
              <w:t>Do not progress</w:t>
            </w:r>
            <w:r w:rsidRPr="00253C4F">
              <w:rPr>
                <w:b/>
              </w:rPr>
              <w:t xml:space="preserve"> </w:t>
            </w:r>
            <w:r w:rsidRPr="00253C4F">
              <w:rPr>
                <w:bCs/>
              </w:rPr>
              <w:t>proposed wording to incorporate ‘mana’ into Right 1.</w:t>
            </w:r>
          </w:p>
          <w:p w14:paraId="256FB71B" w14:textId="77777777" w:rsidR="00B06AA1" w:rsidRPr="00F15359" w:rsidRDefault="00B06AA1" w:rsidP="00A83FB8">
            <w:pPr>
              <w:pStyle w:val="ListParagraph"/>
              <w:numPr>
                <w:ilvl w:val="0"/>
                <w:numId w:val="47"/>
              </w:numPr>
              <w:spacing w:before="80" w:after="80"/>
              <w:contextualSpacing w:val="0"/>
              <w:rPr>
                <w:b/>
              </w:rPr>
            </w:pPr>
            <w:r w:rsidRPr="00F15359">
              <w:rPr>
                <w:b/>
              </w:rPr>
              <w:t xml:space="preserve">Propose new wording </w:t>
            </w:r>
            <w:r w:rsidRPr="001D4D1B">
              <w:rPr>
                <w:bCs/>
              </w:rPr>
              <w:t>to include ‘</w:t>
            </w:r>
            <w:r w:rsidRPr="00543F46">
              <w:rPr>
                <w:bCs/>
                <w:i/>
                <w:iCs/>
              </w:rPr>
              <w:t>tikanga</w:t>
            </w:r>
            <w:r w:rsidRPr="001D4D1B">
              <w:rPr>
                <w:bCs/>
              </w:rPr>
              <w:t>’ after ‘needs’ in Right 1(3).</w:t>
            </w:r>
            <w:r>
              <w:rPr>
                <w:rStyle w:val="FootnoteReference"/>
              </w:rPr>
              <w:footnoteReference w:id="2"/>
            </w:r>
          </w:p>
          <w:p w14:paraId="1909791D" w14:textId="0806F26F" w:rsidR="00B06AA1" w:rsidRPr="00B06AA1" w:rsidRDefault="00B06AA1" w:rsidP="00A83FB8">
            <w:pPr>
              <w:pStyle w:val="ListParagraph"/>
              <w:numPr>
                <w:ilvl w:val="0"/>
                <w:numId w:val="47"/>
              </w:numPr>
              <w:spacing w:before="80" w:after="80"/>
              <w:contextualSpacing w:val="0"/>
              <w:rPr>
                <w:b/>
              </w:rPr>
            </w:pPr>
            <w:r w:rsidRPr="00F15359">
              <w:rPr>
                <w:b/>
              </w:rPr>
              <w:t>HDC to consider opportunities to promote</w:t>
            </w:r>
            <w:r w:rsidRPr="00253C4F">
              <w:rPr>
                <w:b/>
              </w:rPr>
              <w:t xml:space="preserve"> </w:t>
            </w:r>
            <w:r w:rsidRPr="00773E22">
              <w:rPr>
                <w:bCs/>
              </w:rPr>
              <w:t>provider obligations under Right 1(3), and the te reo Māori translation of the Code. Note that the revised posters are tri-lingual, incorporating Māori, NZSL, and English.</w:t>
            </w:r>
          </w:p>
        </w:tc>
      </w:tr>
      <w:tr w:rsidR="008E3986" w14:paraId="6A0554AD" w14:textId="77777777" w:rsidTr="00381E2E">
        <w:tc>
          <w:tcPr>
            <w:tcW w:w="9350" w:type="dxa"/>
            <w:gridSpan w:val="2"/>
            <w:tcBorders>
              <w:top w:val="nil"/>
              <w:left w:val="single" w:sz="12" w:space="0" w:color="auto"/>
              <w:bottom w:val="nil"/>
              <w:right w:val="single" w:sz="12" w:space="0" w:color="auto"/>
            </w:tcBorders>
          </w:tcPr>
          <w:p w14:paraId="5173FEDD" w14:textId="792416F9" w:rsidR="008E3986" w:rsidRDefault="008E3986" w:rsidP="008E3986">
            <w:pPr>
              <w:spacing w:before="80" w:after="80"/>
              <w:jc w:val="right"/>
              <w:rPr>
                <w:lang w:val="en-NZ" w:eastAsia="en-US"/>
              </w:rPr>
            </w:pPr>
            <w:r w:rsidRPr="006842DF">
              <w:rPr>
                <w:b/>
                <w:bCs/>
                <w:lang w:val="en-NZ" w:eastAsia="en-US"/>
              </w:rPr>
              <w:t>Pages</w:t>
            </w:r>
            <w:r>
              <w:rPr>
                <w:b/>
                <w:bCs/>
                <w:lang w:val="en-NZ" w:eastAsia="en-US"/>
              </w:rPr>
              <w:t xml:space="preserve">: </w:t>
            </w:r>
            <w:r>
              <w:t>36 – 37</w:t>
            </w:r>
          </w:p>
        </w:tc>
      </w:tr>
      <w:tr w:rsidR="008E3986" w14:paraId="15EABF43" w14:textId="77777777" w:rsidTr="00381E2E">
        <w:tc>
          <w:tcPr>
            <w:tcW w:w="9350" w:type="dxa"/>
            <w:gridSpan w:val="2"/>
            <w:tcBorders>
              <w:top w:val="nil"/>
              <w:left w:val="single" w:sz="12" w:space="0" w:color="auto"/>
              <w:bottom w:val="nil"/>
              <w:right w:val="single" w:sz="12" w:space="0" w:color="auto"/>
            </w:tcBorders>
          </w:tcPr>
          <w:p w14:paraId="157A7517" w14:textId="2B77EF0A" w:rsidR="008E3986" w:rsidRPr="00D22E1D" w:rsidRDefault="008E3986" w:rsidP="00A83FB8">
            <w:pPr>
              <w:pStyle w:val="ListParagraph"/>
              <w:numPr>
                <w:ilvl w:val="0"/>
                <w:numId w:val="52"/>
              </w:numPr>
              <w:spacing w:before="80" w:after="80"/>
              <w:rPr>
                <w:color w:val="A6192E"/>
              </w:rPr>
            </w:pPr>
            <w:r w:rsidRPr="00D22E1D">
              <w:rPr>
                <w:color w:val="A6192E"/>
              </w:rPr>
              <w:t xml:space="preserve">Give practical effect to Te Tiriti in the Act </w:t>
            </w:r>
          </w:p>
        </w:tc>
      </w:tr>
      <w:tr w:rsidR="00B06AA1" w14:paraId="46D607DD" w14:textId="77777777" w:rsidTr="00381E2E">
        <w:tc>
          <w:tcPr>
            <w:tcW w:w="2294" w:type="dxa"/>
            <w:tcBorders>
              <w:top w:val="nil"/>
              <w:left w:val="single" w:sz="12" w:space="0" w:color="auto"/>
              <w:bottom w:val="nil"/>
            </w:tcBorders>
          </w:tcPr>
          <w:p w14:paraId="69B820E3" w14:textId="31893FA2" w:rsidR="00B06AA1" w:rsidRDefault="00992A2A" w:rsidP="00C26A65">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Borders>
              <w:top w:val="nil"/>
              <w:bottom w:val="nil"/>
              <w:right w:val="single" w:sz="12" w:space="0" w:color="auto"/>
            </w:tcBorders>
          </w:tcPr>
          <w:p w14:paraId="08D053EC" w14:textId="7F448297" w:rsidR="00B06AA1" w:rsidRPr="00CB1E70" w:rsidRDefault="00B06AA1" w:rsidP="00A83FB8">
            <w:pPr>
              <w:pStyle w:val="ListParagraph"/>
              <w:numPr>
                <w:ilvl w:val="0"/>
                <w:numId w:val="46"/>
              </w:numPr>
              <w:spacing w:before="80" w:after="80"/>
              <w:contextualSpacing w:val="0"/>
              <w:rPr>
                <w:b/>
              </w:rPr>
            </w:pPr>
            <w:r w:rsidRPr="002873DB">
              <w:rPr>
                <w:b/>
              </w:rPr>
              <w:t xml:space="preserve">Confirm suggestions </w:t>
            </w:r>
            <w:r w:rsidRPr="00CB1E70">
              <w:rPr>
                <w:bCs/>
              </w:rPr>
              <w:t>to give practical effect to te Tiriti in the Act (see Appendix 4</w:t>
            </w:r>
            <w:r w:rsidR="0007541C">
              <w:rPr>
                <w:bCs/>
              </w:rPr>
              <w:t xml:space="preserve"> of the </w:t>
            </w:r>
            <w:r w:rsidR="00BB032C" w:rsidRPr="00224263">
              <w:rPr>
                <w:bCs/>
                <w:i/>
                <w:iCs/>
              </w:rPr>
              <w:t>Recommendations Report</w:t>
            </w:r>
            <w:r w:rsidRPr="00CB1E70">
              <w:rPr>
                <w:bCs/>
              </w:rPr>
              <w:t>).</w:t>
            </w:r>
          </w:p>
          <w:p w14:paraId="3B30391C" w14:textId="77777777" w:rsidR="00B06AA1" w:rsidRPr="003F662D" w:rsidRDefault="00B06AA1" w:rsidP="00A83FB8">
            <w:pPr>
              <w:pStyle w:val="ListParagraph"/>
              <w:numPr>
                <w:ilvl w:val="0"/>
                <w:numId w:val="46"/>
              </w:numPr>
              <w:spacing w:before="80" w:after="80"/>
              <w:contextualSpacing w:val="0"/>
              <w:rPr>
                <w:b/>
              </w:rPr>
            </w:pPr>
            <w:r>
              <w:rPr>
                <w:b/>
              </w:rPr>
              <w:t xml:space="preserve">Confirm new proposal </w:t>
            </w:r>
            <w:r w:rsidRPr="00CB1E70">
              <w:rPr>
                <w:bCs/>
              </w:rPr>
              <w:t>to strengthen HDC’s leadership by amending section 9 of the Act to create collective requirements for Deputy Commissioners that include, but are not limited to, in-depth knowledge, experience, and expertise in relation to te ao Māori, mātauranga (Māori knowledges, intelligences, systems, and ways of being), tikanga (Māori practices, values, and principles), kawa (Māori processes), and reo Māori (Māori languages).</w:t>
            </w:r>
          </w:p>
          <w:p w14:paraId="440BBFBD" w14:textId="77777777" w:rsidR="00B06AA1" w:rsidRPr="00CB1E70" w:rsidRDefault="00B06AA1" w:rsidP="00A83FB8">
            <w:pPr>
              <w:pStyle w:val="ListParagraph"/>
              <w:numPr>
                <w:ilvl w:val="0"/>
                <w:numId w:val="46"/>
              </w:numPr>
              <w:spacing w:before="80" w:after="80"/>
              <w:contextualSpacing w:val="0"/>
              <w:rPr>
                <w:b/>
              </w:rPr>
            </w:pPr>
            <w:r>
              <w:rPr>
                <w:b/>
              </w:rPr>
              <w:t xml:space="preserve">Confirm proposal </w:t>
            </w:r>
            <w:r w:rsidRPr="00CB1E70">
              <w:rPr>
                <w:bCs/>
              </w:rPr>
              <w:t>to include specific provisions in section 10(1) to strengthen qualifications for the appointment of the Commissioner in relation to the Commissioner’s ability to serve Māori effectively.</w:t>
            </w:r>
            <w:r w:rsidRPr="00CB1E70">
              <w:rPr>
                <w:b/>
              </w:rPr>
              <w:t xml:space="preserve"> </w:t>
            </w:r>
          </w:p>
          <w:p w14:paraId="57D2A378" w14:textId="1040CCFD" w:rsidR="00B06AA1" w:rsidRPr="00B06AA1" w:rsidRDefault="0007541C" w:rsidP="00A83FB8">
            <w:pPr>
              <w:pStyle w:val="ListParagraph"/>
              <w:numPr>
                <w:ilvl w:val="0"/>
                <w:numId w:val="46"/>
              </w:numPr>
              <w:spacing w:before="80" w:after="80"/>
              <w:contextualSpacing w:val="0"/>
              <w:rPr>
                <w:b/>
              </w:rPr>
            </w:pPr>
            <w:r w:rsidRPr="0007541C">
              <w:rPr>
                <w:b/>
              </w:rPr>
              <w:t>T</w:t>
            </w:r>
            <w:r w:rsidR="00B06AA1" w:rsidRPr="0007541C">
              <w:rPr>
                <w:b/>
              </w:rPr>
              <w:t>he Ministry of Health</w:t>
            </w:r>
            <w:r w:rsidR="00B06AA1" w:rsidRPr="006111AF">
              <w:rPr>
                <w:bCs/>
              </w:rPr>
              <w:t xml:space="preserve"> </w:t>
            </w:r>
            <w:r>
              <w:rPr>
                <w:bCs/>
              </w:rPr>
              <w:t xml:space="preserve">should </w:t>
            </w:r>
            <w:r w:rsidR="00B06AA1" w:rsidRPr="006111AF">
              <w:rPr>
                <w:bCs/>
              </w:rPr>
              <w:t>seek guidance from the submissions we received for how these suggestions could be expressed in the development of any Amendment Bill.</w:t>
            </w:r>
          </w:p>
        </w:tc>
      </w:tr>
      <w:tr w:rsidR="008E3986" w14:paraId="1C601567" w14:textId="77777777" w:rsidTr="00381E2E">
        <w:tc>
          <w:tcPr>
            <w:tcW w:w="9350" w:type="dxa"/>
            <w:gridSpan w:val="2"/>
            <w:tcBorders>
              <w:top w:val="nil"/>
              <w:left w:val="single" w:sz="12" w:space="0" w:color="auto"/>
              <w:bottom w:val="single" w:sz="12" w:space="0" w:color="auto"/>
              <w:right w:val="single" w:sz="12" w:space="0" w:color="auto"/>
            </w:tcBorders>
          </w:tcPr>
          <w:p w14:paraId="261C07B3" w14:textId="36405C47" w:rsidR="008E3986" w:rsidRDefault="008E3986" w:rsidP="008E3986">
            <w:pPr>
              <w:spacing w:before="80" w:after="80"/>
              <w:jc w:val="right"/>
              <w:rPr>
                <w:lang w:val="en-NZ" w:eastAsia="en-US"/>
              </w:rPr>
            </w:pPr>
            <w:r w:rsidRPr="006842DF">
              <w:rPr>
                <w:b/>
                <w:bCs/>
                <w:lang w:val="en-NZ" w:eastAsia="en-US"/>
              </w:rPr>
              <w:t>Page</w:t>
            </w:r>
            <w:r>
              <w:rPr>
                <w:b/>
                <w:bCs/>
                <w:lang w:val="en-NZ" w:eastAsia="en-US"/>
              </w:rPr>
              <w:t>s:</w:t>
            </w:r>
            <w:r>
              <w:t xml:space="preserve"> 37 – 39</w:t>
            </w:r>
          </w:p>
        </w:tc>
      </w:tr>
    </w:tbl>
    <w:p w14:paraId="4167F0E2" w14:textId="77777777" w:rsidR="00BF153A" w:rsidRDefault="00BF153A" w:rsidP="00BF153A">
      <w:pPr>
        <w:pStyle w:val="Heading2"/>
        <w:rPr>
          <w:rFonts w:ascii="Aptos" w:hAnsi="Aptos" w:cs="Arial"/>
          <w:b/>
          <w:bCs/>
          <w:color w:val="A6192E"/>
          <w:sz w:val="28"/>
          <w:szCs w:val="48"/>
          <w:lang w:val="en-NZ" w:eastAsia="en-US"/>
        </w:rPr>
      </w:pPr>
      <w:bookmarkStart w:id="2" w:name="_Toc185331970"/>
      <w:r w:rsidRPr="00BF153A">
        <w:rPr>
          <w:rFonts w:ascii="Aptos" w:hAnsi="Aptos" w:cs="Arial"/>
          <w:b/>
          <w:bCs/>
          <w:color w:val="A6192E"/>
          <w:sz w:val="28"/>
          <w:szCs w:val="48"/>
          <w:lang w:val="en-NZ" w:eastAsia="en-US"/>
        </w:rPr>
        <w:lastRenderedPageBreak/>
        <w:t>Topic 3: Making the Act and the Code work better for tāngata whaikaha | disabled people</w:t>
      </w:r>
      <w:bookmarkEnd w:id="2"/>
    </w:p>
    <w:tbl>
      <w:tblPr>
        <w:tblStyle w:val="TableGrid"/>
        <w:tblW w:w="9330" w:type="dxa"/>
        <w:tblInd w:w="127"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94"/>
        <w:gridCol w:w="7036"/>
      </w:tblGrid>
      <w:tr w:rsidR="00CA064B" w14:paraId="5043E1EF" w14:textId="77777777" w:rsidTr="00C87437">
        <w:tc>
          <w:tcPr>
            <w:tcW w:w="9330" w:type="dxa"/>
            <w:gridSpan w:val="2"/>
          </w:tcPr>
          <w:p w14:paraId="0B86DFC9" w14:textId="0A0DA990" w:rsidR="00CA064B" w:rsidRPr="00D22E1D" w:rsidRDefault="00CA064B" w:rsidP="008B3CB1">
            <w:pPr>
              <w:pStyle w:val="ListParagraph"/>
              <w:numPr>
                <w:ilvl w:val="0"/>
                <w:numId w:val="14"/>
              </w:numPr>
              <w:spacing w:before="120" w:after="80" w:line="240" w:lineRule="auto"/>
              <w:ind w:left="714" w:hanging="357"/>
              <w:rPr>
                <w:color w:val="A6192E"/>
              </w:rPr>
            </w:pPr>
            <w:r w:rsidRPr="00D22E1D">
              <w:rPr>
                <w:color w:val="A6192E"/>
              </w:rPr>
              <w:t xml:space="preserve">Strengthen disability functions in the Act </w:t>
            </w:r>
          </w:p>
        </w:tc>
      </w:tr>
      <w:tr w:rsidR="00AD3E09" w14:paraId="7574A0BD" w14:textId="77777777" w:rsidTr="00C87437">
        <w:tc>
          <w:tcPr>
            <w:tcW w:w="2294" w:type="dxa"/>
          </w:tcPr>
          <w:p w14:paraId="573F6557" w14:textId="34056AD6" w:rsidR="00AD3E09" w:rsidRDefault="00992A2A" w:rsidP="00864039">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36" w:type="dxa"/>
          </w:tcPr>
          <w:p w14:paraId="37EB9433" w14:textId="77777777" w:rsidR="00681E66" w:rsidRPr="004F73FB" w:rsidRDefault="00681E66" w:rsidP="00A83FB8">
            <w:pPr>
              <w:pStyle w:val="ListParagraph"/>
              <w:numPr>
                <w:ilvl w:val="0"/>
                <w:numId w:val="45"/>
              </w:numPr>
              <w:spacing w:before="80" w:after="80"/>
              <w:contextualSpacing w:val="0"/>
              <w:rPr>
                <w:b/>
              </w:rPr>
            </w:pPr>
            <w:r w:rsidRPr="005C2D1C">
              <w:rPr>
                <w:b/>
              </w:rPr>
              <w:t xml:space="preserve">Confirm </w:t>
            </w:r>
            <w:r>
              <w:rPr>
                <w:b/>
              </w:rPr>
              <w:t>new suggestion</w:t>
            </w:r>
            <w:r w:rsidRPr="005C2D1C">
              <w:rPr>
                <w:b/>
              </w:rPr>
              <w:t xml:space="preserve"> </w:t>
            </w:r>
            <w:r w:rsidRPr="004F73FB">
              <w:rPr>
                <w:bCs/>
              </w:rPr>
              <w:t>to strengthen HDC’s leadership by amending section 9 of the Act to create collective requirements for Deputy Commissioners that include, but are not limited to, lived experience of disability and an understanding of the rights of disabled people and the operation of the disability support sector.</w:t>
            </w:r>
            <w:r w:rsidRPr="004F73FB">
              <w:rPr>
                <w:b/>
              </w:rPr>
              <w:t xml:space="preserve"> </w:t>
            </w:r>
          </w:p>
          <w:p w14:paraId="63A14C41" w14:textId="77777777" w:rsidR="00681E66" w:rsidRPr="004F73FB" w:rsidRDefault="00681E66" w:rsidP="00A83FB8">
            <w:pPr>
              <w:pStyle w:val="ListParagraph"/>
              <w:numPr>
                <w:ilvl w:val="0"/>
                <w:numId w:val="45"/>
              </w:numPr>
              <w:spacing w:before="80" w:after="80"/>
              <w:contextualSpacing w:val="0"/>
              <w:rPr>
                <w:b/>
              </w:rPr>
            </w:pPr>
            <w:r w:rsidRPr="005C2D1C">
              <w:rPr>
                <w:b/>
              </w:rPr>
              <w:t xml:space="preserve">Additional suggestion to </w:t>
            </w:r>
            <w:r w:rsidRPr="004F73FB">
              <w:rPr>
                <w:bCs/>
              </w:rPr>
              <w:t>strengthen the qualification for appointment of the Commissioner in section 10(1)(e) by replacing the phrase ‘the person’s understanding of the various needs of disability services consumers’ with ‘</w:t>
            </w:r>
            <w:r w:rsidRPr="00171E67">
              <w:rPr>
                <w:bCs/>
                <w:i/>
                <w:iCs/>
              </w:rPr>
              <w:t>the person’s understanding of disability rights and disabled people’s experiences of the health and disability system’</w:t>
            </w:r>
            <w:r w:rsidRPr="004F73FB">
              <w:rPr>
                <w:bCs/>
              </w:rPr>
              <w:t>.</w:t>
            </w:r>
          </w:p>
          <w:p w14:paraId="3DF750C0" w14:textId="77777777" w:rsidR="00681E66" w:rsidRPr="00221796" w:rsidRDefault="00681E66" w:rsidP="00A83FB8">
            <w:pPr>
              <w:pStyle w:val="ListParagraph"/>
              <w:numPr>
                <w:ilvl w:val="0"/>
                <w:numId w:val="45"/>
              </w:numPr>
              <w:spacing w:before="80" w:after="80"/>
              <w:contextualSpacing w:val="0"/>
              <w:rPr>
                <w:b/>
              </w:rPr>
            </w:pPr>
            <w:r w:rsidRPr="150AE0D0">
              <w:rPr>
                <w:b/>
              </w:rPr>
              <w:t>Confirm suggestion with revisions</w:t>
            </w:r>
            <w:r w:rsidRPr="004F73FB">
              <w:rPr>
                <w:b/>
              </w:rPr>
              <w:t xml:space="preserve"> </w:t>
            </w:r>
            <w:r w:rsidRPr="004F73FB">
              <w:rPr>
                <w:bCs/>
              </w:rPr>
              <w:t>to extend reporting in section 14(k) to any relevant Ministers.</w:t>
            </w:r>
          </w:p>
          <w:p w14:paraId="361F9A71" w14:textId="45599839" w:rsidR="00AD3E09" w:rsidRPr="00681E66" w:rsidRDefault="00681E66" w:rsidP="00A83FB8">
            <w:pPr>
              <w:pStyle w:val="ListParagraph"/>
              <w:numPr>
                <w:ilvl w:val="0"/>
                <w:numId w:val="45"/>
              </w:numPr>
              <w:spacing w:before="80" w:after="80"/>
              <w:contextualSpacing w:val="0"/>
              <w:rPr>
                <w:b/>
              </w:rPr>
            </w:pPr>
            <w:r w:rsidRPr="150AE0D0">
              <w:rPr>
                <w:b/>
              </w:rPr>
              <w:t xml:space="preserve">Note </w:t>
            </w:r>
            <w:r>
              <w:rPr>
                <w:b/>
              </w:rPr>
              <w:t>that</w:t>
            </w:r>
            <w:r w:rsidRPr="150AE0D0">
              <w:rPr>
                <w:b/>
              </w:rPr>
              <w:t xml:space="preserve"> HDC’s Disability Strategic Plan</w:t>
            </w:r>
            <w:r w:rsidRPr="150AE0D0">
              <w:t xml:space="preserve"> includes actions </w:t>
            </w:r>
            <w:r w:rsidRPr="7324808B">
              <w:t xml:space="preserve">to make </w:t>
            </w:r>
            <w:r w:rsidRPr="502165EC">
              <w:t xml:space="preserve">our </w:t>
            </w:r>
            <w:r w:rsidRPr="7324808B">
              <w:t>systems</w:t>
            </w:r>
            <w:r w:rsidRPr="2085FD86">
              <w:t>, processes</w:t>
            </w:r>
            <w:r>
              <w:t>,</w:t>
            </w:r>
            <w:r w:rsidRPr="2085FD86">
              <w:t xml:space="preserve"> and communications more responsive to the needs of tāngata whaikaha</w:t>
            </w:r>
            <w:r>
              <w:t xml:space="preserve"> </w:t>
            </w:r>
            <w:r w:rsidRPr="2085FD86">
              <w:t>|</w:t>
            </w:r>
            <w:r>
              <w:t xml:space="preserve"> </w:t>
            </w:r>
            <w:r w:rsidRPr="2085FD86">
              <w:t>disabled people</w:t>
            </w:r>
            <w:r w:rsidRPr="57DB487E">
              <w:t xml:space="preserve"> </w:t>
            </w:r>
            <w:r w:rsidRPr="417E617C">
              <w:t>and</w:t>
            </w:r>
            <w:r w:rsidRPr="57DB487E">
              <w:t xml:space="preserve"> to </w:t>
            </w:r>
            <w:r w:rsidRPr="5EA46E46">
              <w:t xml:space="preserve">support </w:t>
            </w:r>
            <w:r>
              <w:t>improvements to</w:t>
            </w:r>
            <w:r w:rsidRPr="57DB487E">
              <w:t xml:space="preserve"> health and disability services for tāngata whaikaha</w:t>
            </w:r>
            <w:r>
              <w:t xml:space="preserve"> </w:t>
            </w:r>
            <w:r w:rsidRPr="57DB487E">
              <w:t>| disabled people</w:t>
            </w:r>
            <w:r w:rsidRPr="7324808B">
              <w:t>.</w:t>
            </w:r>
          </w:p>
        </w:tc>
      </w:tr>
      <w:tr w:rsidR="00CA064B" w14:paraId="0E5C8B29" w14:textId="77777777" w:rsidTr="00C87437">
        <w:tc>
          <w:tcPr>
            <w:tcW w:w="9330" w:type="dxa"/>
            <w:gridSpan w:val="2"/>
          </w:tcPr>
          <w:p w14:paraId="4A93421F" w14:textId="425620BB" w:rsidR="00CA064B" w:rsidRDefault="00CA064B" w:rsidP="00CA064B">
            <w:pPr>
              <w:spacing w:before="80" w:after="80"/>
              <w:jc w:val="right"/>
              <w:rPr>
                <w:lang w:val="en-NZ" w:eastAsia="en-US"/>
              </w:rPr>
            </w:pPr>
            <w:r w:rsidRPr="006842DF">
              <w:rPr>
                <w:b/>
                <w:bCs/>
                <w:lang w:val="en-NZ" w:eastAsia="en-US"/>
              </w:rPr>
              <w:t>Pages</w:t>
            </w:r>
            <w:r>
              <w:rPr>
                <w:b/>
                <w:bCs/>
                <w:lang w:val="en-NZ" w:eastAsia="en-US"/>
              </w:rPr>
              <w:t xml:space="preserve">: </w:t>
            </w:r>
            <w:r>
              <w:t>43 – 45</w:t>
            </w:r>
          </w:p>
        </w:tc>
      </w:tr>
      <w:tr w:rsidR="00CA064B" w14:paraId="7FDD69F9" w14:textId="77777777" w:rsidTr="00C87437">
        <w:tc>
          <w:tcPr>
            <w:tcW w:w="9330" w:type="dxa"/>
            <w:gridSpan w:val="2"/>
          </w:tcPr>
          <w:p w14:paraId="0E8783F1" w14:textId="25A7C218" w:rsidR="00CA064B" w:rsidRPr="00446D47" w:rsidRDefault="00CA064B" w:rsidP="00A83FB8">
            <w:pPr>
              <w:pStyle w:val="ListParagraph"/>
              <w:numPr>
                <w:ilvl w:val="0"/>
                <w:numId w:val="14"/>
              </w:numPr>
              <w:spacing w:before="80" w:after="80"/>
              <w:rPr>
                <w:color w:val="A6192E"/>
              </w:rPr>
            </w:pPr>
            <w:r w:rsidRPr="00446D47">
              <w:rPr>
                <w:color w:val="A6192E"/>
              </w:rPr>
              <w:t xml:space="preserve">Update definitions relating to disability </w:t>
            </w:r>
          </w:p>
        </w:tc>
      </w:tr>
      <w:tr w:rsidR="00AD3E09" w14:paraId="364AE116" w14:textId="77777777" w:rsidTr="00C87437">
        <w:tc>
          <w:tcPr>
            <w:tcW w:w="2294" w:type="dxa"/>
          </w:tcPr>
          <w:p w14:paraId="6C3762DA" w14:textId="10495C4A" w:rsidR="00AD3E09" w:rsidRDefault="00992A2A" w:rsidP="00864039">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36" w:type="dxa"/>
          </w:tcPr>
          <w:p w14:paraId="240CA72A" w14:textId="5923F342" w:rsidR="001F00BB" w:rsidRPr="00C624C5" w:rsidRDefault="001F00BB" w:rsidP="00A83FB8">
            <w:pPr>
              <w:pStyle w:val="ListParagraph"/>
              <w:numPr>
                <w:ilvl w:val="0"/>
                <w:numId w:val="44"/>
              </w:numPr>
              <w:spacing w:before="80" w:after="80"/>
              <w:contextualSpacing w:val="0"/>
              <w:rPr>
                <w:lang w:val="en-US"/>
              </w:rPr>
            </w:pPr>
            <w:r w:rsidRPr="150AE0D0">
              <w:rPr>
                <w:b/>
              </w:rPr>
              <w:t xml:space="preserve">Confirm suggestion </w:t>
            </w:r>
            <w:r w:rsidRPr="150AE0D0">
              <w:t xml:space="preserve">to update </w:t>
            </w:r>
            <w:r w:rsidR="00171E67" w:rsidRPr="150AE0D0">
              <w:t>definitions and</w:t>
            </w:r>
            <w:r>
              <w:t xml:space="preserve"> </w:t>
            </w:r>
            <w:r w:rsidRPr="150AE0D0">
              <w:t xml:space="preserve">suggest the Ministry </w:t>
            </w:r>
            <w:r>
              <w:t xml:space="preserve">of Health </w:t>
            </w:r>
            <w:r w:rsidRPr="150AE0D0">
              <w:t>collaborate with tāngata whaikaha</w:t>
            </w:r>
            <w:r>
              <w:t xml:space="preserve"> </w:t>
            </w:r>
            <w:r w:rsidRPr="150AE0D0">
              <w:t>|</w:t>
            </w:r>
            <w:r>
              <w:t xml:space="preserve"> </w:t>
            </w:r>
            <w:r w:rsidRPr="150AE0D0">
              <w:t>disabled people on language to be used</w:t>
            </w:r>
            <w:r>
              <w:t>.</w:t>
            </w:r>
          </w:p>
          <w:p w14:paraId="23D82687" w14:textId="6B2A430B" w:rsidR="00AD3E09" w:rsidRPr="001F00BB" w:rsidRDefault="001F00BB" w:rsidP="00A83FB8">
            <w:pPr>
              <w:pStyle w:val="ListParagraph"/>
              <w:numPr>
                <w:ilvl w:val="0"/>
                <w:numId w:val="44"/>
              </w:numPr>
              <w:spacing w:before="80" w:after="80"/>
            </w:pPr>
            <w:r w:rsidRPr="00656DDA">
              <w:rPr>
                <w:b/>
              </w:rPr>
              <w:t xml:space="preserve">HDC to provide the public with clear communication </w:t>
            </w:r>
            <w:r w:rsidRPr="00656DDA">
              <w:rPr>
                <w:bCs/>
              </w:rPr>
              <w:t>of</w:t>
            </w:r>
            <w:r w:rsidRPr="150AE0D0">
              <w:t xml:space="preserve"> the definition of </w:t>
            </w:r>
            <w:r>
              <w:t>‘</w:t>
            </w:r>
            <w:r w:rsidRPr="150AE0D0">
              <w:t>disability supports and services</w:t>
            </w:r>
            <w:r>
              <w:t>’</w:t>
            </w:r>
            <w:r w:rsidRPr="150AE0D0">
              <w:t xml:space="preserve"> that are captured by the Code.</w:t>
            </w:r>
            <w:r>
              <w:tab/>
            </w:r>
          </w:p>
        </w:tc>
      </w:tr>
      <w:tr w:rsidR="00CA064B" w14:paraId="3002B539" w14:textId="77777777" w:rsidTr="00C87437">
        <w:tc>
          <w:tcPr>
            <w:tcW w:w="9330" w:type="dxa"/>
            <w:gridSpan w:val="2"/>
          </w:tcPr>
          <w:p w14:paraId="1A60163A" w14:textId="77777777" w:rsidR="0072458E" w:rsidRDefault="00CA064B" w:rsidP="0072458E">
            <w:pPr>
              <w:spacing w:before="80" w:after="80"/>
              <w:jc w:val="right"/>
            </w:pPr>
            <w:r w:rsidRPr="006842DF">
              <w:rPr>
                <w:b/>
                <w:bCs/>
                <w:lang w:val="en-NZ" w:eastAsia="en-US"/>
              </w:rPr>
              <w:t>Page</w:t>
            </w:r>
            <w:r>
              <w:rPr>
                <w:b/>
                <w:bCs/>
                <w:lang w:val="en-NZ" w:eastAsia="en-US"/>
              </w:rPr>
              <w:t xml:space="preserve">: </w:t>
            </w:r>
            <w:r>
              <w:t>45</w:t>
            </w:r>
          </w:p>
          <w:p w14:paraId="328A7733" w14:textId="77777777" w:rsidR="0072458E" w:rsidRDefault="0072458E" w:rsidP="0072458E">
            <w:pPr>
              <w:spacing w:before="80" w:after="80"/>
              <w:jc w:val="right"/>
            </w:pPr>
          </w:p>
          <w:p w14:paraId="1A259CF2" w14:textId="54735D40" w:rsidR="0072458E" w:rsidRPr="0072458E" w:rsidRDefault="0072458E" w:rsidP="0072458E">
            <w:pPr>
              <w:spacing w:before="80" w:after="80"/>
              <w:jc w:val="right"/>
            </w:pPr>
          </w:p>
        </w:tc>
      </w:tr>
      <w:tr w:rsidR="0072458E" w:rsidRPr="00BB032C" w14:paraId="3BFAF624" w14:textId="77777777" w:rsidTr="00C87437">
        <w:tc>
          <w:tcPr>
            <w:tcW w:w="9330" w:type="dxa"/>
            <w:gridSpan w:val="2"/>
          </w:tcPr>
          <w:p w14:paraId="2F7F26A9" w14:textId="3651C748" w:rsidR="0072458E" w:rsidRPr="00446D47" w:rsidRDefault="0072458E" w:rsidP="008B3CB1">
            <w:pPr>
              <w:pStyle w:val="ListParagraph"/>
              <w:numPr>
                <w:ilvl w:val="0"/>
                <w:numId w:val="15"/>
              </w:numPr>
              <w:spacing w:before="120" w:after="80"/>
              <w:ind w:left="714" w:hanging="357"/>
              <w:rPr>
                <w:color w:val="A6192E"/>
              </w:rPr>
            </w:pPr>
            <w:r w:rsidRPr="00446D47">
              <w:rPr>
                <w:color w:val="A6192E"/>
              </w:rPr>
              <w:lastRenderedPageBreak/>
              <w:t xml:space="preserve">Strengthen references to accessibility </w:t>
            </w:r>
          </w:p>
        </w:tc>
      </w:tr>
      <w:tr w:rsidR="00AD3E09" w:rsidRPr="00BB032C" w14:paraId="1CCDFC76" w14:textId="77777777" w:rsidTr="00C87437">
        <w:tc>
          <w:tcPr>
            <w:tcW w:w="2294" w:type="dxa"/>
          </w:tcPr>
          <w:p w14:paraId="4272222B" w14:textId="14035948" w:rsidR="00AD3E09" w:rsidRPr="00BB032C" w:rsidRDefault="00992A2A" w:rsidP="00864039">
            <w:pPr>
              <w:spacing w:before="80" w:after="80"/>
              <w:rPr>
                <w:i/>
                <w:iCs/>
                <w:lang w:val="en-NZ" w:eastAsia="en-US"/>
              </w:rPr>
            </w:pPr>
            <w:r w:rsidRPr="006842DF">
              <w:rPr>
                <w:b/>
                <w:bCs/>
                <w:lang w:val="en-NZ" w:eastAsia="en-US"/>
              </w:rPr>
              <w:t>Recommendations</w:t>
            </w:r>
            <w:r>
              <w:rPr>
                <w:b/>
                <w:bCs/>
                <w:lang w:val="en-NZ" w:eastAsia="en-US"/>
              </w:rPr>
              <w:t xml:space="preserve"> and response</w:t>
            </w:r>
          </w:p>
        </w:tc>
        <w:tc>
          <w:tcPr>
            <w:tcW w:w="7036" w:type="dxa"/>
          </w:tcPr>
          <w:p w14:paraId="186DD158" w14:textId="77777777" w:rsidR="00B0413F" w:rsidRPr="00C624C5" w:rsidRDefault="00B0413F" w:rsidP="00A83FB8">
            <w:pPr>
              <w:pStyle w:val="ListParagraph"/>
              <w:numPr>
                <w:ilvl w:val="0"/>
                <w:numId w:val="43"/>
              </w:numPr>
              <w:spacing w:before="80" w:after="80" w:line="240" w:lineRule="auto"/>
              <w:contextualSpacing w:val="0"/>
              <w:rPr>
                <w:lang w:val="en-US"/>
              </w:rPr>
            </w:pPr>
            <w:r w:rsidRPr="150AE0D0">
              <w:rPr>
                <w:b/>
              </w:rPr>
              <w:t xml:space="preserve">Confirm proposal </w:t>
            </w:r>
            <w:r w:rsidRPr="150AE0D0">
              <w:t>to remove ‘reasonably practicable’</w:t>
            </w:r>
            <w:r>
              <w:t xml:space="preserve"> from Right 5(1). </w:t>
            </w:r>
          </w:p>
          <w:p w14:paraId="4804E5B9" w14:textId="77777777" w:rsidR="00B0413F" w:rsidRPr="00B77970" w:rsidRDefault="00B0413F" w:rsidP="00A83FB8">
            <w:pPr>
              <w:pStyle w:val="ListParagraph"/>
              <w:numPr>
                <w:ilvl w:val="0"/>
                <w:numId w:val="43"/>
              </w:numPr>
              <w:spacing w:before="80" w:after="80" w:line="240" w:lineRule="auto"/>
              <w:contextualSpacing w:val="0"/>
              <w:rPr>
                <w:lang w:val="en-US"/>
              </w:rPr>
            </w:pPr>
            <w:r w:rsidRPr="004979A6">
              <w:rPr>
                <w:b/>
              </w:rPr>
              <w:t xml:space="preserve">Confirm proposal </w:t>
            </w:r>
            <w:r w:rsidRPr="004979A6">
              <w:t>to add ‘accessible’ to Right 5</w:t>
            </w:r>
            <w:r>
              <w:t>(1).</w:t>
            </w:r>
          </w:p>
          <w:p w14:paraId="7EEDD25B" w14:textId="77777777" w:rsidR="00B0413F" w:rsidRPr="00A951D6" w:rsidRDefault="00B0413F" w:rsidP="00A83FB8">
            <w:pPr>
              <w:pStyle w:val="ListParagraph"/>
              <w:numPr>
                <w:ilvl w:val="0"/>
                <w:numId w:val="43"/>
              </w:numPr>
              <w:spacing w:before="80" w:after="80" w:line="240" w:lineRule="auto"/>
              <w:contextualSpacing w:val="0"/>
              <w:rPr>
                <w:lang w:val="en-US"/>
              </w:rPr>
            </w:pPr>
            <w:r>
              <w:rPr>
                <w:b/>
                <w:lang w:val="en-US"/>
              </w:rPr>
              <w:t xml:space="preserve">Confirm new proposal </w:t>
            </w:r>
            <w:r w:rsidRPr="00B77970">
              <w:rPr>
                <w:bCs/>
                <w:lang w:val="en-US"/>
              </w:rPr>
              <w:t>to change ‘appropriate supports and/or support peoples</w:t>
            </w:r>
            <w:r>
              <w:rPr>
                <w:bCs/>
                <w:lang w:val="en-US"/>
              </w:rPr>
              <w:t>’ in Right 5(1)</w:t>
            </w:r>
            <w:r w:rsidRPr="00B77970">
              <w:rPr>
                <w:bCs/>
                <w:lang w:val="en-US"/>
              </w:rPr>
              <w:t xml:space="preserve"> to </w:t>
            </w:r>
            <w:r>
              <w:rPr>
                <w:bCs/>
                <w:lang w:val="en-US"/>
              </w:rPr>
              <w:t>‘</w:t>
            </w:r>
            <w:r w:rsidRPr="00171E67">
              <w:rPr>
                <w:bCs/>
                <w:i/>
                <w:iCs/>
                <w:lang w:val="en-US"/>
              </w:rPr>
              <w:t>appropriate assistance and supports</w:t>
            </w:r>
            <w:r>
              <w:rPr>
                <w:bCs/>
                <w:lang w:val="en-US"/>
              </w:rPr>
              <w:t xml:space="preserve">’. </w:t>
            </w:r>
          </w:p>
          <w:p w14:paraId="04ABD955" w14:textId="77777777" w:rsidR="00B0413F" w:rsidRPr="00A951D6" w:rsidRDefault="00B0413F" w:rsidP="00A83FB8">
            <w:pPr>
              <w:pStyle w:val="ListParagraph"/>
              <w:numPr>
                <w:ilvl w:val="0"/>
                <w:numId w:val="43"/>
              </w:numPr>
              <w:spacing w:before="80" w:after="80" w:line="240" w:lineRule="auto"/>
              <w:contextualSpacing w:val="0"/>
              <w:rPr>
                <w:b/>
                <w:bCs/>
                <w:lang w:val="en-US"/>
              </w:rPr>
            </w:pPr>
            <w:r>
              <w:rPr>
                <w:b/>
                <w:bCs/>
              </w:rPr>
              <w:t xml:space="preserve">Note that these proposals will change Right 5(1) to: </w:t>
            </w:r>
            <w:r>
              <w:t xml:space="preserve">‘Every consumer has the right to effective </w:t>
            </w:r>
            <w:r w:rsidRPr="008315AA">
              <w:rPr>
                <w:i/>
                <w:iCs/>
              </w:rPr>
              <w:t>and accessible</w:t>
            </w:r>
            <w:r>
              <w:t xml:space="preserve"> communication in a form, language, and manner that enables the consumer to understand the information provided. This includes the right to </w:t>
            </w:r>
            <w:r w:rsidRPr="008315AA">
              <w:rPr>
                <w:i/>
                <w:iCs/>
              </w:rPr>
              <w:t>appropriate assistance and supports, including</w:t>
            </w:r>
            <w:r>
              <w:t xml:space="preserve"> a competent interpreter.’</w:t>
            </w:r>
          </w:p>
          <w:p w14:paraId="4FBD577D" w14:textId="77777777" w:rsidR="00B0413F" w:rsidRDefault="00B0413F" w:rsidP="00A83FB8">
            <w:pPr>
              <w:pStyle w:val="ListParagraph"/>
              <w:numPr>
                <w:ilvl w:val="0"/>
                <w:numId w:val="43"/>
              </w:numPr>
              <w:spacing w:before="80" w:after="80" w:line="240" w:lineRule="auto"/>
              <w:contextualSpacing w:val="0"/>
              <w:rPr>
                <w:lang w:val="en-US"/>
              </w:rPr>
            </w:pPr>
            <w:r w:rsidRPr="150AE0D0">
              <w:rPr>
                <w:b/>
              </w:rPr>
              <w:t xml:space="preserve">HDC to share feedback </w:t>
            </w:r>
            <w:r w:rsidRPr="150AE0D0">
              <w:t>on accessibility barriers</w:t>
            </w:r>
            <w:r w:rsidRPr="150AE0D0">
              <w:rPr>
                <w:b/>
              </w:rPr>
              <w:t xml:space="preserve"> </w:t>
            </w:r>
            <w:r w:rsidRPr="150AE0D0">
              <w:t>experienced by tāngata whaikaha</w:t>
            </w:r>
            <w:r>
              <w:t xml:space="preserve"> </w:t>
            </w:r>
            <w:r w:rsidRPr="150AE0D0">
              <w:t>|</w:t>
            </w:r>
            <w:r>
              <w:t xml:space="preserve"> </w:t>
            </w:r>
            <w:r w:rsidRPr="150AE0D0">
              <w:t>disabled people with the Ministry of Health, Whaikaha</w:t>
            </w:r>
            <w:r>
              <w:t xml:space="preserve"> | Ministry of Disabled People</w:t>
            </w:r>
            <w:r w:rsidRPr="150AE0D0">
              <w:t>, and Health New Zealand to support quality improvement.</w:t>
            </w:r>
          </w:p>
          <w:p w14:paraId="2F95B1AD" w14:textId="7ECA9F9A" w:rsidR="00AD3E09" w:rsidRPr="00B0413F" w:rsidRDefault="00B0413F" w:rsidP="00A83FB8">
            <w:pPr>
              <w:pStyle w:val="ListParagraph"/>
              <w:numPr>
                <w:ilvl w:val="0"/>
                <w:numId w:val="43"/>
              </w:numPr>
              <w:spacing w:before="80" w:after="80" w:line="240" w:lineRule="auto"/>
              <w:contextualSpacing w:val="0"/>
              <w:rPr>
                <w:lang w:val="en-US"/>
              </w:rPr>
            </w:pPr>
            <w:r w:rsidRPr="150AE0D0">
              <w:rPr>
                <w:b/>
              </w:rPr>
              <w:t xml:space="preserve">HDC to consider </w:t>
            </w:r>
            <w:r w:rsidRPr="150AE0D0">
              <w:t xml:space="preserve">feedback </w:t>
            </w:r>
            <w:r>
              <w:t xml:space="preserve">around our </w:t>
            </w:r>
            <w:r w:rsidRPr="150AE0D0">
              <w:t xml:space="preserve">accessibility and communication internally and incorporate </w:t>
            </w:r>
            <w:r>
              <w:t>this into</w:t>
            </w:r>
            <w:r w:rsidRPr="150AE0D0">
              <w:t xml:space="preserve"> our quality improvement programme and Disability </w:t>
            </w:r>
            <w:r>
              <w:t>Strategy</w:t>
            </w:r>
            <w:r w:rsidRPr="150AE0D0">
              <w:t>.</w:t>
            </w:r>
          </w:p>
        </w:tc>
      </w:tr>
      <w:tr w:rsidR="0072458E" w:rsidRPr="00BB032C" w14:paraId="446469F2" w14:textId="77777777" w:rsidTr="00C87437">
        <w:tc>
          <w:tcPr>
            <w:tcW w:w="9330" w:type="dxa"/>
            <w:gridSpan w:val="2"/>
          </w:tcPr>
          <w:p w14:paraId="55B964FF" w14:textId="5A50D01B" w:rsidR="0072458E" w:rsidRPr="00BB032C" w:rsidRDefault="0072458E" w:rsidP="0072458E">
            <w:pPr>
              <w:spacing w:before="80" w:after="80"/>
              <w:jc w:val="right"/>
              <w:rPr>
                <w:i/>
                <w:iCs/>
                <w:lang w:val="en-NZ" w:eastAsia="en-US"/>
              </w:rPr>
            </w:pPr>
            <w:r w:rsidRPr="006842DF">
              <w:rPr>
                <w:b/>
                <w:bCs/>
                <w:lang w:val="en-NZ" w:eastAsia="en-US"/>
              </w:rPr>
              <w:t>Pages</w:t>
            </w:r>
            <w:r>
              <w:rPr>
                <w:b/>
                <w:bCs/>
                <w:lang w:val="en-NZ" w:eastAsia="en-US"/>
              </w:rPr>
              <w:t xml:space="preserve">: </w:t>
            </w:r>
            <w:r>
              <w:t>45 – 47</w:t>
            </w:r>
          </w:p>
        </w:tc>
      </w:tr>
      <w:tr w:rsidR="0072458E" w:rsidRPr="00BB032C" w14:paraId="3C59707B" w14:textId="77777777" w:rsidTr="00C87437">
        <w:tc>
          <w:tcPr>
            <w:tcW w:w="9330" w:type="dxa"/>
            <w:gridSpan w:val="2"/>
          </w:tcPr>
          <w:p w14:paraId="079D65DC" w14:textId="158316E7" w:rsidR="0072458E" w:rsidRPr="00446D47" w:rsidRDefault="0072458E" w:rsidP="00A83FB8">
            <w:pPr>
              <w:pStyle w:val="ListParagraph"/>
              <w:numPr>
                <w:ilvl w:val="0"/>
                <w:numId w:val="16"/>
              </w:numPr>
              <w:spacing w:before="80" w:after="80"/>
              <w:rPr>
                <w:color w:val="A6192E"/>
              </w:rPr>
            </w:pPr>
            <w:r w:rsidRPr="00446D47">
              <w:rPr>
                <w:color w:val="A6192E"/>
              </w:rPr>
              <w:t xml:space="preserve">Strengthen and clarify right to support to make decisions </w:t>
            </w:r>
          </w:p>
        </w:tc>
      </w:tr>
      <w:tr w:rsidR="00AD3E09" w:rsidRPr="00BB032C" w14:paraId="5A53725C" w14:textId="77777777" w:rsidTr="00C87437">
        <w:tc>
          <w:tcPr>
            <w:tcW w:w="2294" w:type="dxa"/>
          </w:tcPr>
          <w:p w14:paraId="3811AFEF" w14:textId="08CD3D48" w:rsidR="00AD3E09" w:rsidRPr="00BB032C" w:rsidRDefault="00992A2A" w:rsidP="00864039">
            <w:pPr>
              <w:spacing w:before="80" w:after="80"/>
              <w:rPr>
                <w:i/>
                <w:iCs/>
                <w:lang w:val="en-NZ" w:eastAsia="en-US"/>
              </w:rPr>
            </w:pPr>
            <w:r w:rsidRPr="006842DF">
              <w:rPr>
                <w:b/>
                <w:bCs/>
                <w:lang w:val="en-NZ" w:eastAsia="en-US"/>
              </w:rPr>
              <w:t>Recommendations</w:t>
            </w:r>
            <w:r>
              <w:rPr>
                <w:b/>
                <w:bCs/>
                <w:lang w:val="en-NZ" w:eastAsia="en-US"/>
              </w:rPr>
              <w:t xml:space="preserve"> and response</w:t>
            </w:r>
          </w:p>
        </w:tc>
        <w:tc>
          <w:tcPr>
            <w:tcW w:w="7036" w:type="dxa"/>
          </w:tcPr>
          <w:p w14:paraId="7145CCAF" w14:textId="77777777" w:rsidR="00B0413F" w:rsidRPr="00B81CB7" w:rsidRDefault="00B0413F" w:rsidP="00A83FB8">
            <w:pPr>
              <w:pStyle w:val="ListParagraph"/>
              <w:numPr>
                <w:ilvl w:val="0"/>
                <w:numId w:val="42"/>
              </w:numPr>
              <w:spacing w:before="80" w:after="80" w:line="240" w:lineRule="auto"/>
              <w:contextualSpacing w:val="0"/>
              <w:rPr>
                <w:lang w:val="en-US"/>
              </w:rPr>
            </w:pPr>
            <w:r w:rsidRPr="00B81CB7">
              <w:rPr>
                <w:b/>
              </w:rPr>
              <w:t>Confirm in principle direction</w:t>
            </w:r>
            <w:r w:rsidRPr="00B81CB7">
              <w:rPr>
                <w:bCs/>
              </w:rPr>
              <w:t xml:space="preserve"> to</w:t>
            </w:r>
            <w:r w:rsidRPr="00B81CB7">
              <w:rPr>
                <w:b/>
              </w:rPr>
              <w:t xml:space="preserve"> </w:t>
            </w:r>
            <w:r w:rsidRPr="00B81CB7">
              <w:t>align the language relating to diminished capacity in Right 7 with the language recommended by the Law Commission (eg</w:t>
            </w:r>
            <w:r>
              <w:t>,</w:t>
            </w:r>
            <w:r w:rsidRPr="00B81CB7">
              <w:t xml:space="preserve"> currently </w:t>
            </w:r>
            <w:r>
              <w:t>‘</w:t>
            </w:r>
            <w:r w:rsidRPr="00B81CB7">
              <w:t>affected decision-making</w:t>
            </w:r>
            <w:r>
              <w:t>’</w:t>
            </w:r>
            <w:r w:rsidRPr="00B81CB7">
              <w:t xml:space="preserve"> rather than ‘not competent’ or ‘diminished competence’) in their final report.</w:t>
            </w:r>
          </w:p>
          <w:p w14:paraId="1DCA44EC" w14:textId="77777777" w:rsidR="00B0413F" w:rsidRPr="00B81CB7" w:rsidRDefault="00B0413F" w:rsidP="00A83FB8">
            <w:pPr>
              <w:pStyle w:val="ListParagraph"/>
              <w:numPr>
                <w:ilvl w:val="0"/>
                <w:numId w:val="42"/>
              </w:numPr>
              <w:spacing w:before="80" w:after="80" w:line="240" w:lineRule="auto"/>
              <w:contextualSpacing w:val="0"/>
              <w:rPr>
                <w:lang w:val="en-US"/>
              </w:rPr>
            </w:pPr>
            <w:r w:rsidRPr="00B81CB7">
              <w:rPr>
                <w:b/>
              </w:rPr>
              <w:t>Confirm draft wording</w:t>
            </w:r>
            <w:r w:rsidRPr="00B81CB7">
              <w:rPr>
                <w:bCs/>
              </w:rPr>
              <w:t xml:space="preserve"> for Right 7</w:t>
            </w:r>
            <w:r>
              <w:rPr>
                <w:bCs/>
              </w:rPr>
              <w:t>(4)</w:t>
            </w:r>
            <w:r w:rsidRPr="00B81CB7">
              <w:rPr>
                <w:bCs/>
              </w:rPr>
              <w:t>(b):</w:t>
            </w:r>
            <w:r w:rsidRPr="00B81CB7">
              <w:rPr>
                <w:b/>
              </w:rPr>
              <w:t xml:space="preserve"> </w:t>
            </w:r>
            <w:r w:rsidRPr="00505448">
              <w:t>‘</w:t>
            </w:r>
            <w:r w:rsidRPr="00B81CB7">
              <w:rPr>
                <w:bCs/>
              </w:rPr>
              <w:t xml:space="preserve">reasonable steps have been taken to ascertain the </w:t>
            </w:r>
            <w:r w:rsidRPr="008315AA">
              <w:rPr>
                <w:bCs/>
                <w:i/>
                <w:iCs/>
              </w:rPr>
              <w:t xml:space="preserve">will and preferences </w:t>
            </w:r>
            <w:r w:rsidRPr="00B81CB7">
              <w:rPr>
                <w:bCs/>
              </w:rPr>
              <w:t>of the consumer; and’</w:t>
            </w:r>
          </w:p>
          <w:p w14:paraId="73C2C236" w14:textId="77777777" w:rsidR="00B0413F" w:rsidRPr="00B81CB7" w:rsidRDefault="00B0413F" w:rsidP="00A83FB8">
            <w:pPr>
              <w:pStyle w:val="ListParagraph"/>
              <w:numPr>
                <w:ilvl w:val="0"/>
                <w:numId w:val="42"/>
              </w:numPr>
              <w:spacing w:before="80" w:after="80" w:line="240" w:lineRule="auto"/>
              <w:contextualSpacing w:val="0"/>
            </w:pPr>
            <w:r w:rsidRPr="00B81CB7">
              <w:rPr>
                <w:b/>
              </w:rPr>
              <w:t xml:space="preserve">Confirm draft wording for </w:t>
            </w:r>
            <w:r w:rsidRPr="00B81CB7">
              <w:t xml:space="preserve">Right 7(3): ‘Where a consumer has </w:t>
            </w:r>
            <w:r w:rsidRPr="008315AA">
              <w:rPr>
                <w:i/>
                <w:iCs/>
              </w:rPr>
              <w:t>affected decision-making capacity</w:t>
            </w:r>
            <w:r w:rsidRPr="00B81CB7">
              <w:t xml:space="preserve">, that consumer retains the right to make informed choices and give informed consent </w:t>
            </w:r>
            <w:r w:rsidRPr="008315AA">
              <w:rPr>
                <w:i/>
                <w:iCs/>
              </w:rPr>
              <w:t>with respect to a particular decision</w:t>
            </w:r>
            <w:r w:rsidRPr="00B81CB7">
              <w:t xml:space="preserve">, to the extent appropriate to </w:t>
            </w:r>
            <w:r w:rsidRPr="008315AA">
              <w:rPr>
                <w:i/>
                <w:iCs/>
              </w:rPr>
              <w:t xml:space="preserve">their </w:t>
            </w:r>
            <w:r w:rsidRPr="00B81CB7">
              <w:t xml:space="preserve">level of </w:t>
            </w:r>
            <w:r w:rsidRPr="008315AA">
              <w:rPr>
                <w:i/>
                <w:iCs/>
              </w:rPr>
              <w:t>decision-making capacity, in relation to that decision. Where necessary, this includes the right to support to make decisions</w:t>
            </w:r>
            <w:r w:rsidRPr="008315AA">
              <w:t>.’</w:t>
            </w:r>
          </w:p>
          <w:p w14:paraId="11A17F77" w14:textId="77777777" w:rsidR="00B0413F" w:rsidRPr="00B81CB7" w:rsidRDefault="00B0413F" w:rsidP="00A83FB8">
            <w:pPr>
              <w:pStyle w:val="ListParagraph"/>
              <w:numPr>
                <w:ilvl w:val="0"/>
                <w:numId w:val="41"/>
              </w:numPr>
              <w:spacing w:before="80" w:after="80" w:line="240" w:lineRule="auto"/>
              <w:contextualSpacing w:val="0"/>
            </w:pPr>
            <w:r w:rsidRPr="00B81CB7">
              <w:rPr>
                <w:b/>
              </w:rPr>
              <w:lastRenderedPageBreak/>
              <w:t xml:space="preserve">Confirm draft wording </w:t>
            </w:r>
            <w:r w:rsidRPr="00B81CB7">
              <w:rPr>
                <w:bCs/>
              </w:rPr>
              <w:t>for</w:t>
            </w:r>
            <w:r w:rsidRPr="00B81CB7">
              <w:rPr>
                <w:b/>
              </w:rPr>
              <w:t xml:space="preserve"> </w:t>
            </w:r>
            <w:r w:rsidRPr="00B81CB7">
              <w:t xml:space="preserve">Right 7(4)(c)(i): ‘if the consumer’s </w:t>
            </w:r>
            <w:r w:rsidRPr="008315AA">
              <w:rPr>
                <w:i/>
                <w:iCs/>
              </w:rPr>
              <w:t>will and preferences</w:t>
            </w:r>
            <w:r w:rsidRPr="00B81CB7">
              <w:rPr>
                <w:b/>
                <w:bCs/>
              </w:rPr>
              <w:t xml:space="preserve"> </w:t>
            </w:r>
            <w:r w:rsidRPr="00B81CB7">
              <w:t xml:space="preserve">have been ascertained, </w:t>
            </w:r>
            <w:r w:rsidRPr="008315AA">
              <w:t>and having regard to</w:t>
            </w:r>
            <w:r w:rsidRPr="00B81CB7">
              <w:rPr>
                <w:b/>
                <w:bCs/>
              </w:rPr>
              <w:t xml:space="preserve"> </w:t>
            </w:r>
            <w:r w:rsidRPr="008315AA">
              <w:rPr>
                <w:i/>
                <w:iCs/>
              </w:rPr>
              <w:t>their will and preferences,</w:t>
            </w:r>
            <w:r w:rsidRPr="00B81CB7">
              <w:t xml:space="preserve"> the provider believes, on reasonable grounds, that the provision of the services is consistent with </w:t>
            </w:r>
            <w:r w:rsidRPr="00F57957">
              <w:t xml:space="preserve">the informed choice the consumer would make if </w:t>
            </w:r>
            <w:r w:rsidRPr="008315AA">
              <w:rPr>
                <w:i/>
                <w:iCs/>
              </w:rPr>
              <w:t>they had decision-making capacity</w:t>
            </w:r>
            <w:r w:rsidRPr="008315AA">
              <w:t>’</w:t>
            </w:r>
            <w:r>
              <w:t>.</w:t>
            </w:r>
          </w:p>
          <w:p w14:paraId="7BA3B6CB" w14:textId="77777777" w:rsidR="00B0413F" w:rsidRPr="00B81CB7" w:rsidRDefault="00B0413F" w:rsidP="00A83FB8">
            <w:pPr>
              <w:pStyle w:val="ListParagraph"/>
              <w:numPr>
                <w:ilvl w:val="0"/>
                <w:numId w:val="41"/>
              </w:numPr>
              <w:spacing w:before="80" w:after="80" w:line="240" w:lineRule="auto"/>
              <w:contextualSpacing w:val="0"/>
            </w:pPr>
            <w:r w:rsidRPr="00B81CB7">
              <w:rPr>
                <w:b/>
                <w:bCs/>
              </w:rPr>
              <w:t xml:space="preserve">Confirm draft wording for Right 7(4)(c)(ii): </w:t>
            </w:r>
            <w:r w:rsidRPr="00505448">
              <w:t>‘</w:t>
            </w:r>
            <w:r w:rsidRPr="00B81CB7">
              <w:t xml:space="preserve">if 7(4)(c)(i) does not apply, the provider takes into account the </w:t>
            </w:r>
            <w:r w:rsidRPr="008315AA">
              <w:rPr>
                <w:i/>
                <w:iCs/>
              </w:rPr>
              <w:t>will and preferences</w:t>
            </w:r>
            <w:r w:rsidRPr="00B81CB7">
              <w:t xml:space="preserve"> of the consumer </w:t>
            </w:r>
            <w:r w:rsidRPr="008315AA">
              <w:rPr>
                <w:i/>
                <w:iCs/>
              </w:rPr>
              <w:t>to the extent they are ascertained</w:t>
            </w:r>
            <w:r w:rsidRPr="00B81CB7">
              <w:t xml:space="preserve">, and the views of family or </w:t>
            </w:r>
            <w:r w:rsidRPr="008315AA">
              <w:rPr>
                <w:i/>
                <w:iCs/>
              </w:rPr>
              <w:t>whānau and</w:t>
            </w:r>
            <w:r w:rsidRPr="00B81CB7">
              <w:t xml:space="preserve"> other suitable persons who are interested in the welfare of the consumer’</w:t>
            </w:r>
            <w:r>
              <w:t>.</w:t>
            </w:r>
            <w:r w:rsidRPr="00B81CB7">
              <w:rPr>
                <w:b/>
                <w:bCs/>
              </w:rPr>
              <w:t xml:space="preserve"> </w:t>
            </w:r>
          </w:p>
          <w:p w14:paraId="52A87D49" w14:textId="77777777" w:rsidR="00B0413F" w:rsidRPr="000A15EA" w:rsidRDefault="00B0413F" w:rsidP="00A83FB8">
            <w:pPr>
              <w:pStyle w:val="ListParagraph"/>
              <w:numPr>
                <w:ilvl w:val="0"/>
                <w:numId w:val="41"/>
              </w:numPr>
              <w:spacing w:before="80" w:after="80" w:line="240" w:lineRule="auto"/>
              <w:contextualSpacing w:val="0"/>
              <w:rPr>
                <w:lang w:val="en-US"/>
              </w:rPr>
            </w:pPr>
            <w:r w:rsidRPr="000A15EA">
              <w:rPr>
                <w:b/>
                <w:bCs/>
              </w:rPr>
              <w:t xml:space="preserve">Note </w:t>
            </w:r>
            <w:r w:rsidRPr="000A15EA">
              <w:t>that finalisation of proposed Code changes should occur following the passage of the Mental Health Bill and publication of the Law Commission report into adult decision-making capacity.</w:t>
            </w:r>
          </w:p>
          <w:p w14:paraId="19973EDD" w14:textId="24DB36F5" w:rsidR="00AD3E09" w:rsidRPr="004354D5" w:rsidRDefault="00B0413F" w:rsidP="00654A76">
            <w:pPr>
              <w:pStyle w:val="ListParagraph"/>
              <w:numPr>
                <w:ilvl w:val="0"/>
                <w:numId w:val="41"/>
              </w:numPr>
              <w:spacing w:before="60" w:after="0" w:line="240" w:lineRule="auto"/>
              <w:ind w:left="357" w:hanging="357"/>
              <w:rPr>
                <w:i/>
                <w:iCs/>
              </w:rPr>
            </w:pPr>
            <w:r w:rsidRPr="004354D5">
              <w:rPr>
                <w:b/>
              </w:rPr>
              <w:t xml:space="preserve">HDC to consider </w:t>
            </w:r>
            <w:r w:rsidRPr="000A15EA">
              <w:t>its role in promoting and developing sector guidance to improve capacity assessments and provide greater clarity to providers of their obligations to support consumers to make informed choices and give informed consent, and where consent cannot be given, to ascertain their views.</w:t>
            </w:r>
          </w:p>
        </w:tc>
      </w:tr>
      <w:tr w:rsidR="0072458E" w:rsidRPr="00BB032C" w14:paraId="40531030" w14:textId="77777777" w:rsidTr="00C87437">
        <w:tc>
          <w:tcPr>
            <w:tcW w:w="9330" w:type="dxa"/>
            <w:gridSpan w:val="2"/>
          </w:tcPr>
          <w:p w14:paraId="399911F7" w14:textId="606F90C3" w:rsidR="0072458E" w:rsidRPr="00BB032C" w:rsidRDefault="0072458E" w:rsidP="007A549D">
            <w:pPr>
              <w:spacing w:after="60"/>
              <w:jc w:val="right"/>
              <w:rPr>
                <w:i/>
                <w:iCs/>
                <w:lang w:val="en-NZ" w:eastAsia="en-US"/>
              </w:rPr>
            </w:pPr>
            <w:r w:rsidRPr="006842DF">
              <w:rPr>
                <w:b/>
                <w:bCs/>
                <w:lang w:val="en-NZ" w:eastAsia="en-US"/>
              </w:rPr>
              <w:lastRenderedPageBreak/>
              <w:t>Pages</w:t>
            </w:r>
            <w:r>
              <w:rPr>
                <w:b/>
                <w:bCs/>
                <w:lang w:val="en-NZ" w:eastAsia="en-US"/>
              </w:rPr>
              <w:t xml:space="preserve">: </w:t>
            </w:r>
            <w:r>
              <w:t>47 – 50</w:t>
            </w:r>
          </w:p>
        </w:tc>
      </w:tr>
      <w:tr w:rsidR="0072458E" w:rsidRPr="00BB032C" w14:paraId="4342D011" w14:textId="77777777" w:rsidTr="00C87437">
        <w:tc>
          <w:tcPr>
            <w:tcW w:w="9330" w:type="dxa"/>
            <w:gridSpan w:val="2"/>
          </w:tcPr>
          <w:p w14:paraId="575DC45C" w14:textId="79F17130" w:rsidR="0072458E" w:rsidRPr="00446D47" w:rsidRDefault="00FA17D7" w:rsidP="0033578A">
            <w:pPr>
              <w:pStyle w:val="ListParagraph"/>
              <w:numPr>
                <w:ilvl w:val="0"/>
                <w:numId w:val="16"/>
              </w:numPr>
              <w:spacing w:before="80" w:after="40"/>
              <w:rPr>
                <w:color w:val="A6192E"/>
              </w:rPr>
            </w:pPr>
            <w:r w:rsidRPr="00FA17D7">
              <w:rPr>
                <w:color w:val="A6192E"/>
              </w:rPr>
              <w:t>Progress consideration of HDC’s 2019 draft recommendations relating to unconsented research</w:t>
            </w:r>
          </w:p>
        </w:tc>
      </w:tr>
      <w:tr w:rsidR="00AD3E09" w:rsidRPr="00BB032C" w14:paraId="5D31904D" w14:textId="77777777" w:rsidTr="00C87437">
        <w:tc>
          <w:tcPr>
            <w:tcW w:w="2294" w:type="dxa"/>
          </w:tcPr>
          <w:p w14:paraId="7DBFFFA8" w14:textId="61B42329" w:rsidR="00AD3E09" w:rsidRPr="00BB032C" w:rsidRDefault="00992A2A" w:rsidP="00864039">
            <w:pPr>
              <w:spacing w:before="80" w:after="80"/>
              <w:rPr>
                <w:i/>
                <w:iCs/>
                <w:lang w:val="en-NZ" w:eastAsia="en-US"/>
              </w:rPr>
            </w:pPr>
            <w:r w:rsidRPr="006842DF">
              <w:rPr>
                <w:b/>
                <w:bCs/>
                <w:lang w:val="en-NZ" w:eastAsia="en-US"/>
              </w:rPr>
              <w:t>Recommendations</w:t>
            </w:r>
            <w:r>
              <w:rPr>
                <w:b/>
                <w:bCs/>
                <w:lang w:val="en-NZ" w:eastAsia="en-US"/>
              </w:rPr>
              <w:t xml:space="preserve"> and response</w:t>
            </w:r>
          </w:p>
        </w:tc>
        <w:tc>
          <w:tcPr>
            <w:tcW w:w="7036" w:type="dxa"/>
          </w:tcPr>
          <w:p w14:paraId="49BFC691" w14:textId="61F7D403" w:rsidR="00AD3E09" w:rsidRPr="00B0413F" w:rsidRDefault="00416C8D" w:rsidP="00B96F13">
            <w:pPr>
              <w:pStyle w:val="ListParagraph"/>
              <w:numPr>
                <w:ilvl w:val="0"/>
                <w:numId w:val="40"/>
              </w:numPr>
              <w:spacing w:before="40" w:after="40"/>
            </w:pPr>
            <w:r>
              <w:rPr>
                <w:b/>
                <w:bCs/>
              </w:rPr>
              <w:t>The</w:t>
            </w:r>
            <w:r w:rsidR="00FA17D7" w:rsidRPr="671D7437">
              <w:t xml:space="preserve"> </w:t>
            </w:r>
            <w:r w:rsidR="00FA17D7" w:rsidRPr="00416C8D">
              <w:rPr>
                <w:b/>
                <w:bCs/>
              </w:rPr>
              <w:t>Ministry of Health</w:t>
            </w:r>
            <w:r w:rsidR="00FA17D7" w:rsidRPr="671D7437">
              <w:t xml:space="preserve"> progress the HDC’s 2019 report recommendations ‘Health and Disability Research with Adult Participants who are Unable to Consent’, and ensure lived experience representation, as part of the development of a Health and Disability Commissioner Amendment bill.</w:t>
            </w:r>
          </w:p>
        </w:tc>
      </w:tr>
      <w:tr w:rsidR="00FA17D7" w:rsidRPr="00BB032C" w14:paraId="16FD89B7" w14:textId="77777777" w:rsidTr="00771960">
        <w:tc>
          <w:tcPr>
            <w:tcW w:w="9330" w:type="dxa"/>
            <w:gridSpan w:val="2"/>
          </w:tcPr>
          <w:p w14:paraId="3B21B3DA" w14:textId="258DE4B7" w:rsidR="00FA17D7" w:rsidRPr="006743CB" w:rsidRDefault="00FA17D7" w:rsidP="00104FD1">
            <w:pPr>
              <w:pStyle w:val="ListParagraph"/>
              <w:spacing w:before="60" w:after="60"/>
              <w:ind w:left="2880"/>
              <w:jc w:val="right"/>
              <w:rPr>
                <w:b/>
                <w:bCs/>
                <w:lang w:val="en-US"/>
              </w:rPr>
            </w:pPr>
            <w:r>
              <w:rPr>
                <w:b/>
                <w:bCs/>
                <w:lang w:val="en-US"/>
              </w:rPr>
              <w:t xml:space="preserve">Page: </w:t>
            </w:r>
            <w:r w:rsidRPr="00FA17D7">
              <w:rPr>
                <w:lang w:val="en-US"/>
              </w:rPr>
              <w:t>50</w:t>
            </w:r>
          </w:p>
        </w:tc>
      </w:tr>
      <w:tr w:rsidR="0099773D" w:rsidRPr="00BB032C" w14:paraId="01C9D2B3" w14:textId="77777777" w:rsidTr="00456888">
        <w:tc>
          <w:tcPr>
            <w:tcW w:w="9330" w:type="dxa"/>
            <w:gridSpan w:val="2"/>
          </w:tcPr>
          <w:p w14:paraId="716D1BA1" w14:textId="7C9A702A" w:rsidR="0099773D" w:rsidRPr="006743CB" w:rsidRDefault="0099773D" w:rsidP="0033578A">
            <w:pPr>
              <w:pStyle w:val="ListParagraph"/>
              <w:spacing w:before="80" w:after="40"/>
              <w:ind w:left="360"/>
              <w:rPr>
                <w:b/>
                <w:bCs/>
                <w:lang w:val="en-US"/>
              </w:rPr>
            </w:pPr>
            <w:r w:rsidRPr="00446D47">
              <w:rPr>
                <w:color w:val="A6192E"/>
              </w:rPr>
              <w:t>Other feedback to support making the Act and the Code work better for tāngata whaikaha | disabled people</w:t>
            </w:r>
          </w:p>
        </w:tc>
      </w:tr>
      <w:tr w:rsidR="00793A14" w:rsidRPr="00BB032C" w14:paraId="787CAF82" w14:textId="77777777" w:rsidTr="00C87437">
        <w:tc>
          <w:tcPr>
            <w:tcW w:w="2294" w:type="dxa"/>
          </w:tcPr>
          <w:p w14:paraId="00E70A98" w14:textId="2EC24FF2" w:rsidR="00793A14" w:rsidRPr="006842DF" w:rsidRDefault="0099773D" w:rsidP="00864039">
            <w:pPr>
              <w:spacing w:before="80" w:after="80"/>
              <w:rPr>
                <w:b/>
                <w:bCs/>
                <w:lang w:val="en-NZ" w:eastAsia="en-US"/>
              </w:rPr>
            </w:pPr>
            <w:r w:rsidRPr="006842DF">
              <w:rPr>
                <w:b/>
                <w:bCs/>
                <w:lang w:val="en-NZ" w:eastAsia="en-US"/>
              </w:rPr>
              <w:t>Recommendations</w:t>
            </w:r>
            <w:r>
              <w:rPr>
                <w:b/>
                <w:bCs/>
                <w:lang w:val="en-NZ" w:eastAsia="en-US"/>
              </w:rPr>
              <w:t xml:space="preserve"> and response</w:t>
            </w:r>
          </w:p>
        </w:tc>
        <w:tc>
          <w:tcPr>
            <w:tcW w:w="7036" w:type="dxa"/>
          </w:tcPr>
          <w:p w14:paraId="3A8E19B3" w14:textId="205BD0A0" w:rsidR="00793A14" w:rsidRPr="006743CB" w:rsidRDefault="0099773D" w:rsidP="00A83FB8">
            <w:pPr>
              <w:pStyle w:val="ListParagraph"/>
              <w:numPr>
                <w:ilvl w:val="0"/>
                <w:numId w:val="40"/>
              </w:numPr>
              <w:spacing w:before="80" w:after="80"/>
              <w:rPr>
                <w:b/>
                <w:bCs/>
                <w:lang w:val="en-US"/>
              </w:rPr>
            </w:pPr>
            <w:r w:rsidRPr="006743CB">
              <w:rPr>
                <w:b/>
                <w:bCs/>
                <w:lang w:val="en-US"/>
              </w:rPr>
              <w:t xml:space="preserve">Note </w:t>
            </w:r>
            <w:r w:rsidRPr="004F6B4D">
              <w:rPr>
                <w:lang w:val="en-US"/>
              </w:rPr>
              <w:t xml:space="preserve">that HDC has committed to actions within its Disability Strategic Plan </w:t>
            </w:r>
            <w:r>
              <w:rPr>
                <w:lang w:val="en-US"/>
              </w:rPr>
              <w:t xml:space="preserve">to </w:t>
            </w:r>
            <w:r w:rsidRPr="004F6B4D">
              <w:t>make systems, processes</w:t>
            </w:r>
            <w:r>
              <w:t>,</w:t>
            </w:r>
            <w:r w:rsidRPr="004F6B4D">
              <w:t xml:space="preserve"> and communications more accessible and responsive to the needs of tāngata whaikaha</w:t>
            </w:r>
            <w:r>
              <w:t xml:space="preserve"> </w:t>
            </w:r>
            <w:r w:rsidRPr="004F6B4D">
              <w:t>|</w:t>
            </w:r>
            <w:r>
              <w:t xml:space="preserve"> </w:t>
            </w:r>
            <w:r w:rsidRPr="004F6B4D">
              <w:t>disabled people.</w:t>
            </w:r>
          </w:p>
        </w:tc>
      </w:tr>
      <w:tr w:rsidR="0072458E" w:rsidRPr="00BB032C" w14:paraId="522E85FD" w14:textId="77777777" w:rsidTr="00C87437">
        <w:tc>
          <w:tcPr>
            <w:tcW w:w="9330" w:type="dxa"/>
            <w:gridSpan w:val="2"/>
          </w:tcPr>
          <w:p w14:paraId="7AD4D64F" w14:textId="62DEB102" w:rsidR="0072458E" w:rsidRPr="00BB032C" w:rsidRDefault="0072458E" w:rsidP="00CA2E7D">
            <w:pPr>
              <w:spacing w:before="80" w:after="80"/>
              <w:jc w:val="right"/>
              <w:rPr>
                <w:i/>
                <w:iCs/>
                <w:lang w:val="en-NZ" w:eastAsia="en-US"/>
              </w:rPr>
            </w:pPr>
            <w:r w:rsidRPr="006842DF">
              <w:rPr>
                <w:b/>
                <w:bCs/>
                <w:lang w:val="en-NZ" w:eastAsia="en-US"/>
              </w:rPr>
              <w:t>Page</w:t>
            </w:r>
            <w:r>
              <w:rPr>
                <w:b/>
                <w:bCs/>
                <w:lang w:val="en-NZ" w:eastAsia="en-US"/>
              </w:rPr>
              <w:t xml:space="preserve">: </w:t>
            </w:r>
            <w:r>
              <w:t>51</w:t>
            </w:r>
          </w:p>
        </w:tc>
      </w:tr>
    </w:tbl>
    <w:p w14:paraId="0BCC90FD" w14:textId="78A212D6" w:rsidR="006743CB" w:rsidRDefault="00862F4C" w:rsidP="00862F4C">
      <w:pPr>
        <w:pStyle w:val="Heading2"/>
        <w:rPr>
          <w:rFonts w:ascii="Aptos" w:hAnsi="Aptos" w:cs="Arial"/>
          <w:b/>
          <w:bCs/>
          <w:color w:val="A6192E"/>
          <w:sz w:val="28"/>
          <w:szCs w:val="48"/>
          <w:lang w:val="en-NZ" w:eastAsia="en-US"/>
        </w:rPr>
      </w:pPr>
      <w:r w:rsidRPr="00862F4C">
        <w:rPr>
          <w:rFonts w:ascii="Aptos" w:hAnsi="Aptos" w:cs="Arial"/>
          <w:b/>
          <w:bCs/>
          <w:color w:val="A6192E"/>
          <w:sz w:val="28"/>
          <w:szCs w:val="48"/>
          <w:lang w:val="en-NZ" w:eastAsia="en-US"/>
        </w:rPr>
        <w:lastRenderedPageBreak/>
        <w:t>Topic 4: Considering options for a right of appeal of HDC decisions</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94"/>
        <w:gridCol w:w="7056"/>
      </w:tblGrid>
      <w:tr w:rsidR="00CA2E7D" w14:paraId="20F8ACF5" w14:textId="77777777" w:rsidTr="00F03F95">
        <w:tc>
          <w:tcPr>
            <w:tcW w:w="9350" w:type="dxa"/>
            <w:gridSpan w:val="2"/>
          </w:tcPr>
          <w:p w14:paraId="0212A961" w14:textId="1F7520E4" w:rsidR="00CA2E7D" w:rsidRPr="00446D47" w:rsidRDefault="00CA2E7D" w:rsidP="008B3CB1">
            <w:pPr>
              <w:pStyle w:val="ListParagraph"/>
              <w:numPr>
                <w:ilvl w:val="0"/>
                <w:numId w:val="5"/>
              </w:numPr>
              <w:spacing w:before="120" w:after="120"/>
              <w:ind w:left="714" w:hanging="357"/>
              <w:rPr>
                <w:color w:val="A6192E"/>
              </w:rPr>
            </w:pPr>
            <w:r w:rsidRPr="00446D47">
              <w:rPr>
                <w:color w:val="A6192E"/>
              </w:rPr>
              <w:t xml:space="preserve">Introduce a statutory requirement for HDC to review decisions </w:t>
            </w:r>
          </w:p>
        </w:tc>
      </w:tr>
      <w:tr w:rsidR="00E75346" w14:paraId="3D77666E" w14:textId="77777777" w:rsidTr="00F03F95">
        <w:tc>
          <w:tcPr>
            <w:tcW w:w="2294" w:type="dxa"/>
          </w:tcPr>
          <w:p w14:paraId="7F0FFEC0" w14:textId="62AF9103" w:rsidR="00E75346" w:rsidRDefault="00992A2A" w:rsidP="00864039">
            <w:pPr>
              <w:spacing w:before="120" w:after="12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5007647B" w14:textId="77777777" w:rsidR="00E75346" w:rsidRPr="009B7C28" w:rsidRDefault="00E75346" w:rsidP="00A83FB8">
            <w:pPr>
              <w:pStyle w:val="ListParagraph"/>
              <w:numPr>
                <w:ilvl w:val="0"/>
                <w:numId w:val="39"/>
              </w:numPr>
              <w:spacing w:before="120" w:after="120"/>
              <w:contextualSpacing w:val="0"/>
            </w:pPr>
            <w:r w:rsidRPr="009B7C28">
              <w:rPr>
                <w:b/>
              </w:rPr>
              <w:t xml:space="preserve">Confirm proposed suggestion </w:t>
            </w:r>
            <w:r w:rsidRPr="009B7C28">
              <w:t xml:space="preserve">to incorporate a statutory </w:t>
            </w:r>
            <w:r>
              <w:t xml:space="preserve">requirement for HDC to review decisions </w:t>
            </w:r>
            <w:r w:rsidRPr="009B7C28">
              <w:t xml:space="preserve">in the Act, with a time-limit and criteria to limit the scope and circumstances of a review in the interests of finality. </w:t>
            </w:r>
          </w:p>
          <w:p w14:paraId="46A6B1BA" w14:textId="77777777" w:rsidR="00E75346" w:rsidRPr="009B7C28" w:rsidRDefault="00E75346" w:rsidP="00A83FB8">
            <w:pPr>
              <w:pStyle w:val="ListParagraph"/>
              <w:numPr>
                <w:ilvl w:val="0"/>
                <w:numId w:val="39"/>
              </w:numPr>
              <w:spacing w:before="120" w:after="120"/>
              <w:contextualSpacing w:val="0"/>
            </w:pPr>
            <w:r w:rsidRPr="150AE0D0">
              <w:rPr>
                <w:b/>
              </w:rPr>
              <w:t xml:space="preserve">Consider </w:t>
            </w:r>
            <w:r w:rsidRPr="00490794">
              <w:rPr>
                <w:b/>
              </w:rPr>
              <w:t>opportunities</w:t>
            </w:r>
            <w:r w:rsidRPr="150AE0D0">
              <w:t xml:space="preserve"> to make </w:t>
            </w:r>
            <w:r>
              <w:t>HDC’s existing review processes</w:t>
            </w:r>
            <w:r w:rsidRPr="150AE0D0">
              <w:t>, a</w:t>
            </w:r>
            <w:r>
              <w:t>s well as</w:t>
            </w:r>
            <w:r w:rsidRPr="150AE0D0">
              <w:t xml:space="preserve"> </w:t>
            </w:r>
            <w:r>
              <w:t>external</w:t>
            </w:r>
            <w:r w:rsidRPr="150AE0D0">
              <w:t xml:space="preserve"> options to challenge </w:t>
            </w:r>
            <w:r>
              <w:t xml:space="preserve">HDC’s decisions, </w:t>
            </w:r>
            <w:r w:rsidRPr="150AE0D0">
              <w:t>more transparent</w:t>
            </w:r>
            <w:r>
              <w:t>.</w:t>
            </w:r>
            <w:r w:rsidRPr="150AE0D0">
              <w:t xml:space="preserve"> </w:t>
            </w:r>
          </w:p>
          <w:p w14:paraId="23ACF673" w14:textId="5DE16D8F" w:rsidR="00E75346" w:rsidRPr="00E75346" w:rsidRDefault="00E75346" w:rsidP="00A83FB8">
            <w:pPr>
              <w:pStyle w:val="ListParagraph"/>
              <w:numPr>
                <w:ilvl w:val="0"/>
                <w:numId w:val="39"/>
              </w:numPr>
              <w:spacing w:before="120" w:after="120"/>
            </w:pPr>
            <w:r w:rsidRPr="00EF6DCC">
              <w:rPr>
                <w:b/>
              </w:rPr>
              <w:t xml:space="preserve">Consider opportunities </w:t>
            </w:r>
            <w:r w:rsidRPr="150AE0D0">
              <w:t>to improve HDC’s complaint</w:t>
            </w:r>
            <w:r>
              <w:t>s</w:t>
            </w:r>
            <w:r w:rsidRPr="150AE0D0">
              <w:t xml:space="preserve"> processes and communication of decision</w:t>
            </w:r>
            <w:r>
              <w:t xml:space="preserve">s </w:t>
            </w:r>
            <w:r w:rsidRPr="150AE0D0">
              <w:t>to address reasons why parties m</w:t>
            </w:r>
            <w:r>
              <w:t>ay</w:t>
            </w:r>
            <w:r w:rsidRPr="150AE0D0">
              <w:t xml:space="preserve"> request a review.</w:t>
            </w:r>
          </w:p>
        </w:tc>
      </w:tr>
      <w:tr w:rsidR="00CA2E7D" w14:paraId="4A98CA00" w14:textId="77777777" w:rsidTr="00F03F95">
        <w:tc>
          <w:tcPr>
            <w:tcW w:w="9350" w:type="dxa"/>
            <w:gridSpan w:val="2"/>
          </w:tcPr>
          <w:p w14:paraId="51732D2C" w14:textId="263F34F2" w:rsidR="00CA2E7D" w:rsidRDefault="00CA2E7D" w:rsidP="00E744DF">
            <w:pPr>
              <w:spacing w:before="60" w:after="120"/>
              <w:jc w:val="right"/>
              <w:rPr>
                <w:lang w:val="en-NZ" w:eastAsia="en-US"/>
              </w:rPr>
            </w:pPr>
            <w:r w:rsidRPr="006842DF">
              <w:rPr>
                <w:b/>
                <w:bCs/>
                <w:lang w:val="en-NZ" w:eastAsia="en-US"/>
              </w:rPr>
              <w:t>Pages</w:t>
            </w:r>
            <w:r>
              <w:rPr>
                <w:b/>
                <w:bCs/>
                <w:lang w:val="en-NZ" w:eastAsia="en-US"/>
              </w:rPr>
              <w:t xml:space="preserve">: </w:t>
            </w:r>
            <w:r>
              <w:t>54 – 55</w:t>
            </w:r>
          </w:p>
        </w:tc>
      </w:tr>
      <w:tr w:rsidR="00CA2E7D" w14:paraId="153F977E" w14:textId="77777777" w:rsidTr="00F03F95">
        <w:tc>
          <w:tcPr>
            <w:tcW w:w="9350" w:type="dxa"/>
            <w:gridSpan w:val="2"/>
          </w:tcPr>
          <w:p w14:paraId="6AF006BE" w14:textId="35EAC518" w:rsidR="00CA2E7D" w:rsidRPr="003745FA" w:rsidRDefault="00CA2E7D" w:rsidP="00A83FB8">
            <w:pPr>
              <w:pStyle w:val="ListParagraph"/>
              <w:numPr>
                <w:ilvl w:val="0"/>
                <w:numId w:val="5"/>
              </w:numPr>
              <w:spacing w:before="120" w:after="120"/>
              <w:rPr>
                <w:color w:val="A6192E"/>
              </w:rPr>
            </w:pPr>
            <w:r w:rsidRPr="003745FA">
              <w:rPr>
                <w:color w:val="A6192E"/>
              </w:rPr>
              <w:t xml:space="preserve">Lower the threshold for access to the Human Rights Review Tribunal (HRRT) </w:t>
            </w:r>
          </w:p>
        </w:tc>
      </w:tr>
      <w:tr w:rsidR="00E75346" w14:paraId="418B6F0B" w14:textId="77777777" w:rsidTr="00F03F95">
        <w:tc>
          <w:tcPr>
            <w:tcW w:w="2294" w:type="dxa"/>
          </w:tcPr>
          <w:p w14:paraId="43A388FA" w14:textId="2F9219C9" w:rsidR="00E75346" w:rsidRPr="0042096E" w:rsidRDefault="00992A2A" w:rsidP="00864039">
            <w:pPr>
              <w:spacing w:before="120" w:after="120"/>
              <w:rPr>
                <w:b/>
                <w:bCs/>
                <w:lang w:val="en-NZ" w:eastAsia="en-US"/>
              </w:rPr>
            </w:pPr>
            <w:r w:rsidRPr="0042096E">
              <w:rPr>
                <w:b/>
                <w:bCs/>
                <w:lang w:val="en-NZ" w:eastAsia="en-US"/>
              </w:rPr>
              <w:t>Recommendations and response</w:t>
            </w:r>
          </w:p>
        </w:tc>
        <w:tc>
          <w:tcPr>
            <w:tcW w:w="7056" w:type="dxa"/>
          </w:tcPr>
          <w:p w14:paraId="73CAAE3E" w14:textId="29CF9A08" w:rsidR="00E75346" w:rsidRPr="00E75346" w:rsidRDefault="0081721E" w:rsidP="00A83FB8">
            <w:pPr>
              <w:pStyle w:val="ListParagraph"/>
              <w:numPr>
                <w:ilvl w:val="0"/>
                <w:numId w:val="38"/>
              </w:numPr>
              <w:spacing w:before="120" w:after="120"/>
            </w:pPr>
            <w:r w:rsidRPr="0081721E">
              <w:rPr>
                <w:b/>
                <w:bCs/>
              </w:rPr>
              <w:t>T</w:t>
            </w:r>
            <w:r w:rsidR="00E75346" w:rsidRPr="0081721E">
              <w:rPr>
                <w:b/>
                <w:bCs/>
              </w:rPr>
              <w:t>he Ministry of Health considers</w:t>
            </w:r>
            <w:r w:rsidR="00E75346" w:rsidRPr="00505606">
              <w:t xml:space="preserve"> </w:t>
            </w:r>
            <w:r w:rsidR="00E75346" w:rsidRPr="0081721E">
              <w:rPr>
                <w:b/>
                <w:bCs/>
              </w:rPr>
              <w:t>this matter further</w:t>
            </w:r>
            <w:r w:rsidR="00E75346">
              <w:t xml:space="preserve"> in consultation with a diverse array of stakeholders and other Ministries. </w:t>
            </w:r>
            <w:r w:rsidR="00E75346">
              <w:rPr>
                <w:b/>
                <w:bCs/>
              </w:rPr>
              <w:t xml:space="preserve"> </w:t>
            </w:r>
          </w:p>
        </w:tc>
      </w:tr>
      <w:tr w:rsidR="00CA2E7D" w14:paraId="4FB28945" w14:textId="77777777" w:rsidTr="00F03F95">
        <w:tc>
          <w:tcPr>
            <w:tcW w:w="9350" w:type="dxa"/>
            <w:gridSpan w:val="2"/>
          </w:tcPr>
          <w:p w14:paraId="4E453296" w14:textId="66F9BFC9" w:rsidR="00CA2E7D" w:rsidRDefault="00CA2E7D" w:rsidP="00E744DF">
            <w:pPr>
              <w:spacing w:before="60" w:after="120"/>
              <w:jc w:val="right"/>
              <w:rPr>
                <w:lang w:val="en-NZ" w:eastAsia="en-US"/>
              </w:rPr>
            </w:pPr>
            <w:r w:rsidRPr="0042096E">
              <w:rPr>
                <w:b/>
                <w:bCs/>
                <w:lang w:val="en-NZ" w:eastAsia="en-US"/>
              </w:rPr>
              <w:t>Pages</w:t>
            </w:r>
            <w:r>
              <w:rPr>
                <w:b/>
                <w:bCs/>
                <w:lang w:val="en-NZ" w:eastAsia="en-US"/>
              </w:rPr>
              <w:t xml:space="preserve">: </w:t>
            </w:r>
            <w:r>
              <w:t>56 – 57</w:t>
            </w:r>
          </w:p>
        </w:tc>
      </w:tr>
    </w:tbl>
    <w:p w14:paraId="2A863EF4" w14:textId="77777777" w:rsidR="00FF5EE9" w:rsidRDefault="00FF5EE9" w:rsidP="0015216D"/>
    <w:p w14:paraId="2D4D6160" w14:textId="77777777" w:rsidR="0015216D" w:rsidRDefault="0015216D" w:rsidP="0015216D"/>
    <w:p w14:paraId="0D56958E" w14:textId="77777777" w:rsidR="0015216D" w:rsidRDefault="0015216D" w:rsidP="0015216D"/>
    <w:p w14:paraId="27A0F4E0" w14:textId="77777777" w:rsidR="0015216D" w:rsidRDefault="0015216D" w:rsidP="0015216D"/>
    <w:p w14:paraId="333A8D0A" w14:textId="77777777" w:rsidR="0015216D" w:rsidRDefault="0015216D" w:rsidP="0015216D"/>
    <w:p w14:paraId="7CAA9F99" w14:textId="77777777" w:rsidR="00CA2E7D" w:rsidRDefault="00CA2E7D" w:rsidP="0015216D"/>
    <w:p w14:paraId="290E8ED6" w14:textId="77777777" w:rsidR="0015216D" w:rsidRDefault="0015216D" w:rsidP="0015216D"/>
    <w:p w14:paraId="1ECF4F22" w14:textId="77777777" w:rsidR="00CA2E7D" w:rsidRDefault="00CA2E7D" w:rsidP="0015216D"/>
    <w:p w14:paraId="0D896A0C" w14:textId="77777777" w:rsidR="0015216D" w:rsidRDefault="0015216D" w:rsidP="0015216D"/>
    <w:p w14:paraId="0DAE906E" w14:textId="77777777" w:rsidR="00124D63" w:rsidRDefault="00124D63" w:rsidP="00124D63">
      <w:pPr>
        <w:pStyle w:val="Heading2"/>
        <w:rPr>
          <w:rFonts w:ascii="Aptos" w:hAnsi="Aptos" w:cs="Arial"/>
          <w:b/>
          <w:bCs/>
          <w:color w:val="A6192E"/>
          <w:sz w:val="28"/>
          <w:szCs w:val="48"/>
          <w:lang w:val="en-NZ" w:eastAsia="en-US"/>
        </w:rPr>
      </w:pPr>
      <w:bookmarkStart w:id="3" w:name="_Toc185331972"/>
      <w:r w:rsidRPr="00124D63">
        <w:rPr>
          <w:rFonts w:ascii="Aptos" w:hAnsi="Aptos" w:cs="Arial"/>
          <w:b/>
          <w:bCs/>
          <w:color w:val="A6192E"/>
          <w:sz w:val="28"/>
          <w:szCs w:val="48"/>
          <w:lang w:val="en-NZ" w:eastAsia="en-US"/>
        </w:rPr>
        <w:lastRenderedPageBreak/>
        <w:t>Topic 5: Minor and technical improvements</w:t>
      </w:r>
      <w:bookmarkEnd w:id="3"/>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294"/>
        <w:gridCol w:w="7056"/>
      </w:tblGrid>
      <w:tr w:rsidR="00CA2E7D" w14:paraId="433A4A54" w14:textId="77777777" w:rsidTr="004D79F9">
        <w:tc>
          <w:tcPr>
            <w:tcW w:w="9350" w:type="dxa"/>
            <w:gridSpan w:val="2"/>
          </w:tcPr>
          <w:p w14:paraId="5F90708A" w14:textId="4690DD76" w:rsidR="00CA2E7D" w:rsidRPr="003745FA" w:rsidRDefault="00CA2E7D" w:rsidP="008B3CB1">
            <w:pPr>
              <w:pStyle w:val="ListParagraph"/>
              <w:numPr>
                <w:ilvl w:val="0"/>
                <w:numId w:val="6"/>
              </w:numPr>
              <w:spacing w:before="120" w:after="80"/>
              <w:ind w:left="714" w:hanging="357"/>
              <w:rPr>
                <w:color w:val="A6192E"/>
              </w:rPr>
            </w:pPr>
            <w:r w:rsidRPr="003745FA">
              <w:rPr>
                <w:color w:val="A6192E"/>
              </w:rPr>
              <w:t xml:space="preserve">Revise the requirements for reviews of the Act and the Code </w:t>
            </w:r>
          </w:p>
        </w:tc>
      </w:tr>
      <w:tr w:rsidR="00092104" w14:paraId="184E9D25" w14:textId="77777777" w:rsidTr="004D79F9">
        <w:tc>
          <w:tcPr>
            <w:tcW w:w="2294" w:type="dxa"/>
          </w:tcPr>
          <w:p w14:paraId="2E425D72" w14:textId="34240F40" w:rsidR="00092104" w:rsidRDefault="00992A2A" w:rsidP="00864039">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68C9DBB6" w14:textId="77777777" w:rsidR="00092104" w:rsidRPr="009B7C28" w:rsidRDefault="00092104" w:rsidP="00A83FB8">
            <w:pPr>
              <w:pStyle w:val="ListParagraph"/>
              <w:numPr>
                <w:ilvl w:val="0"/>
                <w:numId w:val="37"/>
              </w:numPr>
              <w:spacing w:before="80" w:after="80"/>
              <w:contextualSpacing w:val="0"/>
            </w:pPr>
            <w:r w:rsidRPr="671D7437">
              <w:rPr>
                <w:b/>
                <w:bCs/>
              </w:rPr>
              <w:t xml:space="preserve">Confirm proposed suggestions </w:t>
            </w:r>
            <w:r w:rsidRPr="671D7437">
              <w:t>to</w:t>
            </w:r>
            <w:r>
              <w:t xml:space="preserve"> make the reviews of the Act and Code concurrent and</w:t>
            </w:r>
            <w:r w:rsidRPr="671D7437">
              <w:t xml:space="preserve"> align the</w:t>
            </w:r>
            <w:r>
              <w:t>ir</w:t>
            </w:r>
            <w:r w:rsidRPr="671D7437">
              <w:t xml:space="preserve"> requirements, streamline the steps for reviews</w:t>
            </w:r>
            <w:r>
              <w:t>,</w:t>
            </w:r>
            <w:r w:rsidRPr="671D7437">
              <w:t xml:space="preserve"> and shift the requirements for reviews to ‘</w:t>
            </w:r>
            <w:r w:rsidRPr="00C806C6">
              <w:rPr>
                <w:i/>
                <w:iCs/>
              </w:rPr>
              <w:t>at least every 10 years’</w:t>
            </w:r>
            <w:r>
              <w:t>.</w:t>
            </w:r>
            <w:r w:rsidRPr="671D7437">
              <w:t xml:space="preserve">  </w:t>
            </w:r>
          </w:p>
          <w:p w14:paraId="4307AB97" w14:textId="39BBA792" w:rsidR="00092104" w:rsidRPr="00092104" w:rsidRDefault="00092104" w:rsidP="00A83FB8">
            <w:pPr>
              <w:pStyle w:val="ListParagraph"/>
              <w:numPr>
                <w:ilvl w:val="0"/>
                <w:numId w:val="37"/>
              </w:numPr>
              <w:spacing w:before="80" w:after="80"/>
            </w:pPr>
            <w:r w:rsidRPr="150AE0D0">
              <w:rPr>
                <w:b/>
              </w:rPr>
              <w:t>Consider</w:t>
            </w:r>
            <w:r w:rsidRPr="00C4110F">
              <w:rPr>
                <w:b/>
                <w:bCs/>
              </w:rPr>
              <w:t xml:space="preserve"> opportunities </w:t>
            </w:r>
            <w:r w:rsidRPr="078391D7">
              <w:t>to engage</w:t>
            </w:r>
            <w:r>
              <w:t xml:space="preserve"> </w:t>
            </w:r>
            <w:r w:rsidRPr="078391D7">
              <w:t>more</w:t>
            </w:r>
            <w:r>
              <w:t xml:space="preserve"> regularly with stakeholders — particularly communities who face barriers to making complaints.</w:t>
            </w:r>
          </w:p>
        </w:tc>
      </w:tr>
      <w:tr w:rsidR="00CA2E7D" w14:paraId="5535B567" w14:textId="77777777" w:rsidTr="004D79F9">
        <w:tc>
          <w:tcPr>
            <w:tcW w:w="9350" w:type="dxa"/>
            <w:gridSpan w:val="2"/>
          </w:tcPr>
          <w:p w14:paraId="6978AA9A" w14:textId="2721CF40" w:rsidR="00CA2E7D" w:rsidRDefault="00242376" w:rsidP="00E744DF">
            <w:pPr>
              <w:spacing w:before="80" w:after="120"/>
              <w:jc w:val="right"/>
              <w:rPr>
                <w:lang w:val="en-NZ" w:eastAsia="en-US"/>
              </w:rPr>
            </w:pPr>
            <w:r w:rsidRPr="00242376">
              <w:rPr>
                <w:b/>
                <w:bCs/>
              </w:rPr>
              <w:t>Pages:</w:t>
            </w:r>
            <w:r>
              <w:t xml:space="preserve"> </w:t>
            </w:r>
            <w:r w:rsidR="00CA2E7D">
              <w:t>61 – 62</w:t>
            </w:r>
          </w:p>
        </w:tc>
      </w:tr>
      <w:tr w:rsidR="00242376" w14:paraId="379531BC" w14:textId="77777777" w:rsidTr="004D79F9">
        <w:tc>
          <w:tcPr>
            <w:tcW w:w="9350" w:type="dxa"/>
            <w:gridSpan w:val="2"/>
          </w:tcPr>
          <w:p w14:paraId="425AFC7D" w14:textId="4EA21A15" w:rsidR="00242376" w:rsidRPr="008F40F0" w:rsidRDefault="00242376" w:rsidP="00CA2E7D">
            <w:pPr>
              <w:pStyle w:val="ListParagraph"/>
              <w:numPr>
                <w:ilvl w:val="0"/>
                <w:numId w:val="6"/>
              </w:numPr>
              <w:spacing w:before="80" w:after="80"/>
              <w:rPr>
                <w:color w:val="A6192E"/>
              </w:rPr>
            </w:pPr>
            <w:r w:rsidRPr="008F40F0">
              <w:rPr>
                <w:color w:val="A6192E"/>
              </w:rPr>
              <w:t xml:space="preserve">Increase the maximum find for an offence under the Act from $3,000 to $10,000 </w:t>
            </w:r>
          </w:p>
        </w:tc>
      </w:tr>
      <w:tr w:rsidR="00CA2E7D" w14:paraId="2B65CE89" w14:textId="77777777" w:rsidTr="004D79F9">
        <w:tc>
          <w:tcPr>
            <w:tcW w:w="2294" w:type="dxa"/>
          </w:tcPr>
          <w:p w14:paraId="71A1C978" w14:textId="067A2261"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66BAE811" w14:textId="4E0983C4" w:rsidR="00CA2E7D" w:rsidRPr="00092104" w:rsidRDefault="00CA2E7D" w:rsidP="00CA2E7D">
            <w:pPr>
              <w:pStyle w:val="ListParagraph"/>
              <w:numPr>
                <w:ilvl w:val="0"/>
                <w:numId w:val="36"/>
              </w:numPr>
              <w:spacing w:before="80" w:after="80"/>
            </w:pPr>
            <w:r w:rsidRPr="001B792A">
              <w:rPr>
                <w:b/>
              </w:rPr>
              <w:t xml:space="preserve">Confirm suggestion </w:t>
            </w:r>
            <w:r>
              <w:t>to increase the maximum fine to $10,000</w:t>
            </w:r>
            <w:r w:rsidRPr="009B7C28">
              <w:t>.</w:t>
            </w:r>
          </w:p>
        </w:tc>
      </w:tr>
      <w:tr w:rsidR="00242376" w14:paraId="53C8B9C1" w14:textId="77777777" w:rsidTr="004D79F9">
        <w:tc>
          <w:tcPr>
            <w:tcW w:w="9350" w:type="dxa"/>
            <w:gridSpan w:val="2"/>
          </w:tcPr>
          <w:p w14:paraId="567EA690" w14:textId="6373CF08" w:rsidR="00242376" w:rsidRDefault="00242376" w:rsidP="00242376">
            <w:pPr>
              <w:spacing w:before="80" w:after="80"/>
              <w:jc w:val="right"/>
              <w:rPr>
                <w:lang w:val="en-NZ" w:eastAsia="en-US"/>
              </w:rPr>
            </w:pPr>
            <w:r w:rsidRPr="006842DF">
              <w:rPr>
                <w:b/>
                <w:bCs/>
                <w:lang w:val="en-NZ" w:eastAsia="en-US"/>
              </w:rPr>
              <w:t>Pages</w:t>
            </w:r>
            <w:r>
              <w:rPr>
                <w:b/>
                <w:bCs/>
                <w:lang w:val="en-NZ" w:eastAsia="en-US"/>
              </w:rPr>
              <w:t xml:space="preserve">: </w:t>
            </w:r>
            <w:r>
              <w:t>62 – 63</w:t>
            </w:r>
          </w:p>
        </w:tc>
      </w:tr>
      <w:tr w:rsidR="00EE4858" w14:paraId="4AB259DF" w14:textId="77777777" w:rsidTr="004D79F9">
        <w:tc>
          <w:tcPr>
            <w:tcW w:w="9350" w:type="dxa"/>
            <w:gridSpan w:val="2"/>
          </w:tcPr>
          <w:p w14:paraId="2CA4D5FF" w14:textId="615634CD" w:rsidR="00EE4858" w:rsidRPr="008F40F0" w:rsidRDefault="00EE4858" w:rsidP="00CA2E7D">
            <w:pPr>
              <w:pStyle w:val="ListParagraph"/>
              <w:numPr>
                <w:ilvl w:val="0"/>
                <w:numId w:val="17"/>
              </w:numPr>
              <w:spacing w:before="80" w:after="80"/>
              <w:rPr>
                <w:color w:val="A6192E"/>
              </w:rPr>
            </w:pPr>
            <w:r w:rsidRPr="008F40F0">
              <w:rPr>
                <w:color w:val="A6192E"/>
              </w:rPr>
              <w:t xml:space="preserve">Give the Director of Proceedings the power to require information </w:t>
            </w:r>
          </w:p>
        </w:tc>
      </w:tr>
      <w:tr w:rsidR="00CA2E7D" w14:paraId="64F8131C" w14:textId="77777777" w:rsidTr="004D79F9">
        <w:tc>
          <w:tcPr>
            <w:tcW w:w="2294" w:type="dxa"/>
          </w:tcPr>
          <w:p w14:paraId="372EAFBB" w14:textId="1B8C97D5"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5071FE14" w14:textId="77777777" w:rsidR="00CA2E7D" w:rsidRPr="00046610" w:rsidRDefault="00CA2E7D" w:rsidP="00CA2E7D">
            <w:pPr>
              <w:pStyle w:val="ListParagraph"/>
              <w:numPr>
                <w:ilvl w:val="0"/>
                <w:numId w:val="35"/>
              </w:numPr>
              <w:spacing w:before="80" w:after="80"/>
              <w:contextualSpacing w:val="0"/>
              <w:rPr>
                <w:b/>
                <w:bCs/>
              </w:rPr>
            </w:pPr>
            <w:r w:rsidRPr="671D7437">
              <w:rPr>
                <w:b/>
                <w:bCs/>
              </w:rPr>
              <w:t xml:space="preserve">Do not progress suggestion </w:t>
            </w:r>
            <w:r w:rsidRPr="671D7437">
              <w:t>to give the Director of Proceedings the power to require information.</w:t>
            </w:r>
            <w:r w:rsidRPr="671D7437">
              <w:rPr>
                <w:b/>
                <w:bCs/>
              </w:rPr>
              <w:t xml:space="preserve"> </w:t>
            </w:r>
          </w:p>
          <w:p w14:paraId="15186C1B" w14:textId="11BA0811" w:rsidR="00CA2E7D" w:rsidRPr="00092104" w:rsidRDefault="00CA2E7D" w:rsidP="00CA2E7D">
            <w:pPr>
              <w:pStyle w:val="ListParagraph"/>
              <w:numPr>
                <w:ilvl w:val="0"/>
                <w:numId w:val="35"/>
              </w:numPr>
              <w:spacing w:before="80" w:after="80"/>
            </w:pPr>
            <w:r>
              <w:rPr>
                <w:b/>
              </w:rPr>
              <w:t>HDC to improve i</w:t>
            </w:r>
            <w:r w:rsidRPr="009B7C28">
              <w:rPr>
                <w:b/>
              </w:rPr>
              <w:t>nternal communication/feedback</w:t>
            </w:r>
            <w:r w:rsidRPr="00046610">
              <w:rPr>
                <w:b/>
              </w:rPr>
              <w:t xml:space="preserve"> </w:t>
            </w:r>
            <w:r w:rsidRPr="00046610">
              <w:rPr>
                <w:bCs/>
              </w:rPr>
              <w:t xml:space="preserve">about the Director of Proceedings’ </w:t>
            </w:r>
            <w:r>
              <w:rPr>
                <w:bCs/>
              </w:rPr>
              <w:t>role</w:t>
            </w:r>
            <w:r w:rsidRPr="00046610">
              <w:rPr>
                <w:bCs/>
              </w:rPr>
              <w:t xml:space="preserve"> and processes and any lessons from decisions to prosecute or not</w:t>
            </w:r>
            <w:r>
              <w:rPr>
                <w:bCs/>
              </w:rPr>
              <w:t>,</w:t>
            </w:r>
            <w:r w:rsidRPr="00046610">
              <w:rPr>
                <w:bCs/>
              </w:rPr>
              <w:t xml:space="preserve"> to support continuous quality improvement.  </w:t>
            </w:r>
          </w:p>
        </w:tc>
      </w:tr>
      <w:tr w:rsidR="00EE4858" w14:paraId="2D4CCC82" w14:textId="77777777" w:rsidTr="004D79F9">
        <w:tc>
          <w:tcPr>
            <w:tcW w:w="9350" w:type="dxa"/>
            <w:gridSpan w:val="2"/>
          </w:tcPr>
          <w:p w14:paraId="14FC476D" w14:textId="4AF50FD1" w:rsidR="00EE4858" w:rsidRDefault="00EE4858" w:rsidP="00EE4858">
            <w:pPr>
              <w:spacing w:before="80" w:after="80"/>
              <w:jc w:val="right"/>
              <w:rPr>
                <w:lang w:val="en-NZ" w:eastAsia="en-US"/>
              </w:rPr>
            </w:pPr>
            <w:r w:rsidRPr="006842DF">
              <w:rPr>
                <w:b/>
                <w:bCs/>
                <w:lang w:val="en-NZ" w:eastAsia="en-US"/>
              </w:rPr>
              <w:t>Page</w:t>
            </w:r>
            <w:r>
              <w:rPr>
                <w:b/>
                <w:bCs/>
                <w:lang w:val="en-NZ" w:eastAsia="en-US"/>
              </w:rPr>
              <w:t xml:space="preserve">: </w:t>
            </w:r>
            <w:r w:rsidRPr="00EE4858">
              <w:rPr>
                <w:lang w:val="en-NZ" w:eastAsia="en-US"/>
              </w:rPr>
              <w:t>64</w:t>
            </w:r>
          </w:p>
        </w:tc>
      </w:tr>
      <w:tr w:rsidR="00EE4858" w14:paraId="20E9937E" w14:textId="77777777" w:rsidTr="004D79F9">
        <w:tc>
          <w:tcPr>
            <w:tcW w:w="9350" w:type="dxa"/>
            <w:gridSpan w:val="2"/>
          </w:tcPr>
          <w:p w14:paraId="371E4FD6" w14:textId="3253EB20" w:rsidR="00EE4858" w:rsidRPr="008F40F0" w:rsidRDefault="00EE4858" w:rsidP="00CA2E7D">
            <w:pPr>
              <w:pStyle w:val="ListParagraph"/>
              <w:numPr>
                <w:ilvl w:val="0"/>
                <w:numId w:val="18"/>
              </w:numPr>
              <w:spacing w:before="80" w:after="80"/>
              <w:rPr>
                <w:color w:val="A6192E"/>
              </w:rPr>
            </w:pPr>
            <w:r w:rsidRPr="008F40F0">
              <w:rPr>
                <w:color w:val="A6192E"/>
              </w:rPr>
              <w:t xml:space="preserve">Introduce a definition for ‘aggrieved person’ </w:t>
            </w:r>
          </w:p>
        </w:tc>
      </w:tr>
      <w:tr w:rsidR="00CA2E7D" w14:paraId="47525E80" w14:textId="77777777" w:rsidTr="004D79F9">
        <w:tc>
          <w:tcPr>
            <w:tcW w:w="2294" w:type="dxa"/>
          </w:tcPr>
          <w:p w14:paraId="3BCC1EF1" w14:textId="33A2B230"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35E385FD" w14:textId="77777777" w:rsidR="00CA2E7D" w:rsidRPr="00024091" w:rsidRDefault="00CA2E7D" w:rsidP="00CA2E7D">
            <w:pPr>
              <w:pStyle w:val="ListParagraph"/>
              <w:numPr>
                <w:ilvl w:val="0"/>
                <w:numId w:val="34"/>
              </w:numPr>
              <w:spacing w:before="80" w:after="80"/>
              <w:contextualSpacing w:val="0"/>
              <w:rPr>
                <w:b/>
              </w:rPr>
            </w:pPr>
            <w:r w:rsidRPr="00024091">
              <w:rPr>
                <w:b/>
              </w:rPr>
              <w:t xml:space="preserve">Confirm suggestion </w:t>
            </w:r>
            <w:r w:rsidRPr="00024091">
              <w:rPr>
                <w:bCs/>
              </w:rPr>
              <w:t xml:space="preserve">to substitute the phrase </w:t>
            </w:r>
            <w:r>
              <w:rPr>
                <w:bCs/>
              </w:rPr>
              <w:t>‘</w:t>
            </w:r>
            <w:r w:rsidRPr="00024091">
              <w:rPr>
                <w:bCs/>
              </w:rPr>
              <w:t>aggrieved persons</w:t>
            </w:r>
            <w:r>
              <w:rPr>
                <w:bCs/>
              </w:rPr>
              <w:t>’</w:t>
            </w:r>
            <w:r w:rsidRPr="00024091">
              <w:rPr>
                <w:bCs/>
              </w:rPr>
              <w:t xml:space="preserve"> with the phrase </w:t>
            </w:r>
            <w:r w:rsidRPr="006E1838">
              <w:rPr>
                <w:bCs/>
                <w:i/>
                <w:iCs/>
              </w:rPr>
              <w:t>‘the complainant (if any) or the aggrieved person (if not the complainant)’</w:t>
            </w:r>
            <w:r w:rsidRPr="00024091">
              <w:rPr>
                <w:bCs/>
              </w:rPr>
              <w:t xml:space="preserve"> where it appears in relevant provisions from s</w:t>
            </w:r>
            <w:r>
              <w:rPr>
                <w:bCs/>
              </w:rPr>
              <w:t xml:space="preserve">ection </w:t>
            </w:r>
            <w:r w:rsidRPr="00024091">
              <w:rPr>
                <w:bCs/>
              </w:rPr>
              <w:t>51 onwards.</w:t>
            </w:r>
          </w:p>
          <w:p w14:paraId="20CBD90C" w14:textId="0B043994" w:rsidR="00CA2E7D" w:rsidRPr="00B36E09" w:rsidRDefault="00CA2E7D" w:rsidP="00CA2E7D">
            <w:pPr>
              <w:pStyle w:val="ListParagraph"/>
              <w:numPr>
                <w:ilvl w:val="0"/>
                <w:numId w:val="34"/>
              </w:numPr>
              <w:spacing w:before="80" w:after="80" w:line="240" w:lineRule="auto"/>
            </w:pPr>
            <w:r>
              <w:rPr>
                <w:b/>
              </w:rPr>
              <w:t>T</w:t>
            </w:r>
            <w:r w:rsidRPr="00B36E09">
              <w:rPr>
                <w:b/>
              </w:rPr>
              <w:t>he Ministry of Health consider this change</w:t>
            </w:r>
            <w:r w:rsidRPr="00B36E09">
              <w:rPr>
                <w:bCs/>
              </w:rPr>
              <w:t xml:space="preserve"> alongside its review of the Health Practitioners Competence Assurance Act.</w:t>
            </w:r>
          </w:p>
        </w:tc>
      </w:tr>
      <w:tr w:rsidR="00EE4858" w14:paraId="2AE67DF0" w14:textId="77777777" w:rsidTr="004D79F9">
        <w:tc>
          <w:tcPr>
            <w:tcW w:w="9350" w:type="dxa"/>
            <w:gridSpan w:val="2"/>
          </w:tcPr>
          <w:p w14:paraId="4B1262C2" w14:textId="21F87589" w:rsidR="00EE4858" w:rsidRDefault="00EE4858" w:rsidP="00EE4858">
            <w:pPr>
              <w:spacing w:before="80" w:after="80"/>
              <w:jc w:val="right"/>
              <w:rPr>
                <w:lang w:val="en-NZ" w:eastAsia="en-US"/>
              </w:rPr>
            </w:pPr>
            <w:r w:rsidRPr="006842DF">
              <w:rPr>
                <w:b/>
                <w:bCs/>
                <w:lang w:val="en-NZ" w:eastAsia="en-US"/>
              </w:rPr>
              <w:t>Pages</w:t>
            </w:r>
            <w:r>
              <w:rPr>
                <w:b/>
                <w:bCs/>
                <w:lang w:val="en-NZ" w:eastAsia="en-US"/>
              </w:rPr>
              <w:t xml:space="preserve">: </w:t>
            </w:r>
            <w:r>
              <w:t>65 – 66</w:t>
            </w:r>
          </w:p>
          <w:p w14:paraId="294082CB" w14:textId="077EAE7C" w:rsidR="00EE4858" w:rsidRDefault="00EE4858" w:rsidP="00CA2E7D">
            <w:pPr>
              <w:spacing w:before="80" w:after="80"/>
              <w:rPr>
                <w:lang w:val="en-NZ" w:eastAsia="en-US"/>
              </w:rPr>
            </w:pPr>
          </w:p>
        </w:tc>
      </w:tr>
      <w:tr w:rsidR="0079784C" w14:paraId="286E0512" w14:textId="77777777" w:rsidTr="004D79F9">
        <w:tc>
          <w:tcPr>
            <w:tcW w:w="9350" w:type="dxa"/>
            <w:gridSpan w:val="2"/>
          </w:tcPr>
          <w:p w14:paraId="55DD5E0D" w14:textId="7AAE076C" w:rsidR="0079784C" w:rsidRPr="008F40F0" w:rsidRDefault="0079784C" w:rsidP="008B3CB1">
            <w:pPr>
              <w:pStyle w:val="ListParagraph"/>
              <w:numPr>
                <w:ilvl w:val="0"/>
                <w:numId w:val="19"/>
              </w:numPr>
              <w:spacing w:before="120" w:after="80"/>
              <w:ind w:left="714" w:hanging="357"/>
              <w:rPr>
                <w:color w:val="A6192E"/>
              </w:rPr>
            </w:pPr>
            <w:r w:rsidRPr="008F40F0">
              <w:rPr>
                <w:color w:val="A6192E"/>
              </w:rPr>
              <w:lastRenderedPageBreak/>
              <w:t xml:space="preserve">Allow for substituted service </w:t>
            </w:r>
          </w:p>
        </w:tc>
      </w:tr>
      <w:tr w:rsidR="00CA2E7D" w14:paraId="6124DA7F" w14:textId="77777777" w:rsidTr="004D79F9">
        <w:tc>
          <w:tcPr>
            <w:tcW w:w="2294" w:type="dxa"/>
          </w:tcPr>
          <w:p w14:paraId="1FC5500B" w14:textId="5E661647"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35209CF6" w14:textId="77777777" w:rsidR="00CA2E7D" w:rsidRPr="00024091" w:rsidRDefault="00CA2E7D" w:rsidP="00CA2E7D">
            <w:pPr>
              <w:pStyle w:val="ListParagraph"/>
              <w:numPr>
                <w:ilvl w:val="0"/>
                <w:numId w:val="33"/>
              </w:numPr>
              <w:spacing w:before="80" w:after="80"/>
              <w:contextualSpacing w:val="0"/>
              <w:rPr>
                <w:b/>
              </w:rPr>
            </w:pPr>
            <w:r w:rsidRPr="00024091">
              <w:rPr>
                <w:b/>
              </w:rPr>
              <w:t xml:space="preserve">Confirm suggestion </w:t>
            </w:r>
            <w:r>
              <w:rPr>
                <w:b/>
              </w:rPr>
              <w:t xml:space="preserve">with changes </w:t>
            </w:r>
            <w:r>
              <w:rPr>
                <w:bCs/>
              </w:rPr>
              <w:t>to substitute the phrase ‘the Commissioner must advise’ with ‘</w:t>
            </w:r>
            <w:r w:rsidRPr="00E306C7">
              <w:rPr>
                <w:bCs/>
                <w:i/>
                <w:iCs/>
              </w:rPr>
              <w:t>the Commissioner must make reasonable attempts to advise</w:t>
            </w:r>
            <w:r>
              <w:rPr>
                <w:bCs/>
              </w:rPr>
              <w:t xml:space="preserve">’ in section 43(1).  </w:t>
            </w:r>
          </w:p>
          <w:p w14:paraId="6F9C7AED" w14:textId="60FCEC03" w:rsidR="00CA2E7D" w:rsidRPr="00DF37EC" w:rsidRDefault="00CA2E7D" w:rsidP="00CA2E7D">
            <w:pPr>
              <w:pStyle w:val="ListParagraph"/>
              <w:numPr>
                <w:ilvl w:val="0"/>
                <w:numId w:val="33"/>
              </w:numPr>
              <w:spacing w:before="80" w:after="80"/>
            </w:pPr>
            <w:r w:rsidRPr="560654BA">
              <w:rPr>
                <w:b/>
                <w:bCs/>
              </w:rPr>
              <w:t>Consider</w:t>
            </w:r>
            <w:r>
              <w:rPr>
                <w:b/>
              </w:rPr>
              <w:t xml:space="preserve"> opportunities </w:t>
            </w:r>
            <w:r>
              <w:rPr>
                <w:bCs/>
              </w:rPr>
              <w:t xml:space="preserve">to improve </w:t>
            </w:r>
            <w:r w:rsidRPr="00C75BF2">
              <w:rPr>
                <w:bCs/>
              </w:rPr>
              <w:t xml:space="preserve">the </w:t>
            </w:r>
            <w:r>
              <w:rPr>
                <w:bCs/>
              </w:rPr>
              <w:t>way we collect and update people’s contact information as part of ongoing quality improvement.</w:t>
            </w:r>
          </w:p>
        </w:tc>
      </w:tr>
      <w:tr w:rsidR="0079784C" w14:paraId="67C08859" w14:textId="77777777" w:rsidTr="004D79F9">
        <w:tc>
          <w:tcPr>
            <w:tcW w:w="9350" w:type="dxa"/>
            <w:gridSpan w:val="2"/>
          </w:tcPr>
          <w:p w14:paraId="51D4B214" w14:textId="606A8364" w:rsidR="0079784C" w:rsidRDefault="0079784C" w:rsidP="0079784C">
            <w:pPr>
              <w:spacing w:before="80" w:after="80"/>
              <w:jc w:val="right"/>
              <w:rPr>
                <w:lang w:val="en-NZ" w:eastAsia="en-US"/>
              </w:rPr>
            </w:pPr>
            <w:r w:rsidRPr="006842DF">
              <w:rPr>
                <w:b/>
                <w:bCs/>
                <w:lang w:val="en-NZ" w:eastAsia="en-US"/>
              </w:rPr>
              <w:t>Pages</w:t>
            </w:r>
            <w:r>
              <w:rPr>
                <w:b/>
                <w:bCs/>
                <w:lang w:val="en-NZ" w:eastAsia="en-US"/>
              </w:rPr>
              <w:t xml:space="preserve">: </w:t>
            </w:r>
            <w:r>
              <w:t>66 – 67</w:t>
            </w:r>
          </w:p>
        </w:tc>
      </w:tr>
      <w:tr w:rsidR="0079784C" w14:paraId="7D7BD151" w14:textId="77777777" w:rsidTr="004D79F9">
        <w:tc>
          <w:tcPr>
            <w:tcW w:w="9350" w:type="dxa"/>
            <w:gridSpan w:val="2"/>
          </w:tcPr>
          <w:p w14:paraId="6C2C606B" w14:textId="547FAB24" w:rsidR="0079784C" w:rsidRPr="008F40F0" w:rsidRDefault="0079784C" w:rsidP="00CA2E7D">
            <w:pPr>
              <w:pStyle w:val="ListParagraph"/>
              <w:numPr>
                <w:ilvl w:val="0"/>
                <w:numId w:val="20"/>
              </w:numPr>
              <w:spacing w:before="80" w:after="80"/>
              <w:rPr>
                <w:color w:val="A6192E"/>
              </w:rPr>
            </w:pPr>
            <w:r w:rsidRPr="008F40F0">
              <w:rPr>
                <w:color w:val="A6192E"/>
              </w:rPr>
              <w:t xml:space="preserve">Provide HDC with grounds to withhold information where appropriate </w:t>
            </w:r>
          </w:p>
        </w:tc>
      </w:tr>
      <w:tr w:rsidR="00CA2E7D" w14:paraId="5D690458" w14:textId="77777777" w:rsidTr="004D79F9">
        <w:tc>
          <w:tcPr>
            <w:tcW w:w="2294" w:type="dxa"/>
          </w:tcPr>
          <w:p w14:paraId="121A18B9" w14:textId="4501CA39"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45319284" w14:textId="77777777" w:rsidR="00CA2E7D" w:rsidRPr="008D0B79" w:rsidRDefault="00CA2E7D" w:rsidP="00CA2E7D">
            <w:pPr>
              <w:pStyle w:val="ListParagraph"/>
              <w:numPr>
                <w:ilvl w:val="0"/>
                <w:numId w:val="32"/>
              </w:numPr>
              <w:spacing w:before="80" w:after="80"/>
              <w:contextualSpacing w:val="0"/>
              <w:rPr>
                <w:b/>
              </w:rPr>
            </w:pPr>
            <w:r>
              <w:rPr>
                <w:b/>
              </w:rPr>
              <w:t xml:space="preserve">Do not progress </w:t>
            </w:r>
            <w:r w:rsidRPr="008D0B79">
              <w:rPr>
                <w:bCs/>
              </w:rPr>
              <w:t xml:space="preserve">the proposal to </w:t>
            </w:r>
            <w:r>
              <w:rPr>
                <w:bCs/>
              </w:rPr>
              <w:t>provide HDC with grounds to withhold information</w:t>
            </w:r>
            <w:r w:rsidRPr="008D0B79">
              <w:rPr>
                <w:bCs/>
              </w:rPr>
              <w:t xml:space="preserve"> </w:t>
            </w:r>
            <w:r>
              <w:rPr>
                <w:bCs/>
              </w:rPr>
              <w:t xml:space="preserve">where appropriate. </w:t>
            </w:r>
          </w:p>
          <w:p w14:paraId="0E333445" w14:textId="34B9C7ED" w:rsidR="00CA2E7D" w:rsidRPr="005F5C9B" w:rsidRDefault="00CA2E7D" w:rsidP="00CA2E7D">
            <w:pPr>
              <w:pStyle w:val="ListParagraph"/>
              <w:numPr>
                <w:ilvl w:val="0"/>
                <w:numId w:val="32"/>
              </w:numPr>
              <w:spacing w:before="80" w:after="80"/>
            </w:pPr>
            <w:r w:rsidRPr="005F5C9B">
              <w:rPr>
                <w:b/>
              </w:rPr>
              <w:t>The government progress</w:t>
            </w:r>
            <w:r w:rsidRPr="005C0A22">
              <w:rPr>
                <w:bCs/>
              </w:rPr>
              <w:t xml:space="preserve"> the Law Commission’s recommendation</w:t>
            </w:r>
            <w:r>
              <w:rPr>
                <w:b/>
              </w:rPr>
              <w:t xml:space="preserve"> </w:t>
            </w:r>
            <w:r w:rsidRPr="005C0A22">
              <w:rPr>
                <w:bCs/>
              </w:rPr>
              <w:t>to introduce a new withholding ground into s</w:t>
            </w:r>
            <w:r>
              <w:rPr>
                <w:bCs/>
              </w:rPr>
              <w:t xml:space="preserve">ection </w:t>
            </w:r>
            <w:r w:rsidRPr="005C0A22">
              <w:rPr>
                <w:bCs/>
              </w:rPr>
              <w:t>9 of the Official Information Act</w:t>
            </w:r>
            <w:r>
              <w:rPr>
                <w:bCs/>
              </w:rPr>
              <w:t xml:space="preserve"> (R24)</w:t>
            </w:r>
            <w:r w:rsidR="0082692B">
              <w:rPr>
                <w:rStyle w:val="FootnoteReference"/>
                <w:bCs/>
              </w:rPr>
              <w:footnoteReference w:id="3"/>
            </w:r>
            <w:r w:rsidRPr="005C0A22">
              <w:rPr>
                <w:bCs/>
              </w:rPr>
              <w:t>.</w:t>
            </w:r>
          </w:p>
        </w:tc>
      </w:tr>
      <w:tr w:rsidR="0079784C" w14:paraId="03E6A753" w14:textId="77777777" w:rsidTr="004D79F9">
        <w:tc>
          <w:tcPr>
            <w:tcW w:w="9350" w:type="dxa"/>
            <w:gridSpan w:val="2"/>
          </w:tcPr>
          <w:p w14:paraId="3013D532" w14:textId="632349EA" w:rsidR="0079784C" w:rsidRDefault="0079784C" w:rsidP="0079784C">
            <w:pPr>
              <w:spacing w:before="80" w:after="80"/>
              <w:jc w:val="right"/>
              <w:rPr>
                <w:lang w:val="en-NZ" w:eastAsia="en-US"/>
              </w:rPr>
            </w:pPr>
            <w:r w:rsidRPr="006842DF">
              <w:rPr>
                <w:b/>
                <w:bCs/>
                <w:lang w:val="en-NZ" w:eastAsia="en-US"/>
              </w:rPr>
              <w:t>Pages</w:t>
            </w:r>
            <w:r>
              <w:rPr>
                <w:b/>
                <w:bCs/>
                <w:lang w:val="en-NZ" w:eastAsia="en-US"/>
              </w:rPr>
              <w:t xml:space="preserve">: </w:t>
            </w:r>
            <w:r>
              <w:t>67 – 68</w:t>
            </w:r>
          </w:p>
        </w:tc>
      </w:tr>
      <w:tr w:rsidR="0079784C" w14:paraId="27B0B0C5" w14:textId="77777777" w:rsidTr="004D79F9">
        <w:tc>
          <w:tcPr>
            <w:tcW w:w="9350" w:type="dxa"/>
            <w:gridSpan w:val="2"/>
          </w:tcPr>
          <w:p w14:paraId="2066ED77" w14:textId="5BFBC1AC" w:rsidR="0079784C" w:rsidRPr="008F40F0" w:rsidRDefault="0079784C" w:rsidP="00CA2E7D">
            <w:pPr>
              <w:pStyle w:val="ListParagraph"/>
              <w:numPr>
                <w:ilvl w:val="0"/>
                <w:numId w:val="21"/>
              </w:numPr>
              <w:spacing w:before="80" w:after="80"/>
              <w:rPr>
                <w:bCs/>
                <w:color w:val="A6192E"/>
              </w:rPr>
            </w:pPr>
            <w:r w:rsidRPr="008F40F0">
              <w:rPr>
                <w:bCs/>
                <w:color w:val="A6192E"/>
              </w:rPr>
              <w:t xml:space="preserve">Expand the requirement for written consent for sedation that is equivalent to anaesthetic </w:t>
            </w:r>
          </w:p>
        </w:tc>
      </w:tr>
      <w:tr w:rsidR="00CA2E7D" w14:paraId="760FC4E3" w14:textId="77777777" w:rsidTr="004D79F9">
        <w:tc>
          <w:tcPr>
            <w:tcW w:w="2294" w:type="dxa"/>
          </w:tcPr>
          <w:p w14:paraId="407A346E" w14:textId="53A7ED48"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270740C6" w14:textId="77777777" w:rsidR="00CA2E7D" w:rsidRDefault="00CA2E7D" w:rsidP="00CA2E7D">
            <w:pPr>
              <w:pStyle w:val="ListParagraph"/>
              <w:numPr>
                <w:ilvl w:val="0"/>
                <w:numId w:val="31"/>
              </w:numPr>
              <w:spacing w:before="80" w:after="80"/>
              <w:contextualSpacing w:val="0"/>
              <w:rPr>
                <w:b/>
              </w:rPr>
            </w:pPr>
            <w:r w:rsidRPr="00024091">
              <w:rPr>
                <w:b/>
              </w:rPr>
              <w:t xml:space="preserve">Confirm suggestion </w:t>
            </w:r>
            <w:r w:rsidRPr="00C75BF2">
              <w:rPr>
                <w:bCs/>
              </w:rPr>
              <w:t xml:space="preserve">to substitute the phrase </w:t>
            </w:r>
            <w:r>
              <w:rPr>
                <w:bCs/>
              </w:rPr>
              <w:t>‘under general anaesthetic’ with ‘</w:t>
            </w:r>
            <w:r w:rsidRPr="00E306C7">
              <w:rPr>
                <w:bCs/>
                <w:i/>
                <w:iCs/>
              </w:rPr>
              <w:t>given medication designed to alter their level of consciousness, or awareness or recall, for the purpose of undertaking the procedure</w:t>
            </w:r>
            <w:r>
              <w:rPr>
                <w:bCs/>
              </w:rPr>
              <w:t xml:space="preserve">’ in Right 7(6)(c) of the Code. </w:t>
            </w:r>
          </w:p>
          <w:p w14:paraId="2B3A4903" w14:textId="23D697A5" w:rsidR="00CA2E7D" w:rsidRPr="0025773E" w:rsidRDefault="00CA2E7D" w:rsidP="00CA2E7D">
            <w:pPr>
              <w:pStyle w:val="ListParagraph"/>
              <w:numPr>
                <w:ilvl w:val="0"/>
                <w:numId w:val="31"/>
              </w:numPr>
              <w:spacing w:before="80" w:after="80"/>
            </w:pPr>
            <w:r w:rsidRPr="7C496B67">
              <w:rPr>
                <w:b/>
                <w:bCs/>
              </w:rPr>
              <w:t>Consider</w:t>
            </w:r>
            <w:r>
              <w:rPr>
                <w:b/>
              </w:rPr>
              <w:t xml:space="preserve"> guidance</w:t>
            </w:r>
            <w:r w:rsidRPr="00B56E2E">
              <w:t xml:space="preserve"> by HDC</w:t>
            </w:r>
            <w:r w:rsidRPr="57B2EDC8">
              <w:rPr>
                <w:b/>
                <w:bCs/>
              </w:rPr>
              <w:t xml:space="preserve"> </w:t>
            </w:r>
            <w:r w:rsidRPr="57B2EDC8">
              <w:t>to</w:t>
            </w:r>
            <w:r>
              <w:t xml:space="preserve"> improve the sector’s understanding of Right 7(6)(c).</w:t>
            </w:r>
          </w:p>
        </w:tc>
      </w:tr>
      <w:tr w:rsidR="0079784C" w14:paraId="71C9C1F7" w14:textId="77777777" w:rsidTr="004D79F9">
        <w:tc>
          <w:tcPr>
            <w:tcW w:w="9350" w:type="dxa"/>
            <w:gridSpan w:val="2"/>
          </w:tcPr>
          <w:p w14:paraId="08F31DC5" w14:textId="64D6838C" w:rsidR="0079784C" w:rsidRDefault="0079784C" w:rsidP="0079784C">
            <w:pPr>
              <w:spacing w:before="80" w:after="80"/>
              <w:jc w:val="right"/>
              <w:rPr>
                <w:lang w:val="en-NZ" w:eastAsia="en-US"/>
              </w:rPr>
            </w:pPr>
            <w:r w:rsidRPr="006842DF">
              <w:rPr>
                <w:b/>
                <w:bCs/>
                <w:lang w:val="en-NZ" w:eastAsia="en-US"/>
              </w:rPr>
              <w:t>Pages</w:t>
            </w:r>
            <w:r>
              <w:rPr>
                <w:b/>
                <w:bCs/>
                <w:lang w:val="en-NZ" w:eastAsia="en-US"/>
              </w:rPr>
              <w:t xml:space="preserve">: </w:t>
            </w:r>
            <w:r>
              <w:rPr>
                <w:bCs/>
              </w:rPr>
              <w:t>68 – 70</w:t>
            </w:r>
          </w:p>
        </w:tc>
      </w:tr>
      <w:tr w:rsidR="0079784C" w14:paraId="1E7E2D7C" w14:textId="77777777" w:rsidTr="004D79F9">
        <w:tc>
          <w:tcPr>
            <w:tcW w:w="9350" w:type="dxa"/>
            <w:gridSpan w:val="2"/>
          </w:tcPr>
          <w:p w14:paraId="306E9CB2" w14:textId="4A601D5D" w:rsidR="0079784C" w:rsidRPr="008F40F0" w:rsidRDefault="0079784C" w:rsidP="00CA2E7D">
            <w:pPr>
              <w:pStyle w:val="ListParagraph"/>
              <w:numPr>
                <w:ilvl w:val="0"/>
                <w:numId w:val="22"/>
              </w:numPr>
              <w:spacing w:before="80" w:after="80"/>
              <w:rPr>
                <w:color w:val="A6192E"/>
              </w:rPr>
            </w:pPr>
            <w:r w:rsidRPr="008F40F0">
              <w:rPr>
                <w:color w:val="A6192E"/>
              </w:rPr>
              <w:t xml:space="preserve">Clarify the requirement for written consent where there is a high risk of serious adverse consequences </w:t>
            </w:r>
          </w:p>
        </w:tc>
      </w:tr>
      <w:tr w:rsidR="00CA2E7D" w14:paraId="55730289" w14:textId="77777777" w:rsidTr="004D79F9">
        <w:tc>
          <w:tcPr>
            <w:tcW w:w="2294" w:type="dxa"/>
          </w:tcPr>
          <w:p w14:paraId="69A3B933" w14:textId="58022C1B"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468A232C" w14:textId="77777777" w:rsidR="00CA2E7D" w:rsidRPr="00F647EC" w:rsidRDefault="00CA2E7D" w:rsidP="00CA2E7D">
            <w:pPr>
              <w:pStyle w:val="ListParagraph"/>
              <w:numPr>
                <w:ilvl w:val="0"/>
                <w:numId w:val="30"/>
              </w:numPr>
              <w:spacing w:before="80" w:after="80"/>
              <w:contextualSpacing w:val="0"/>
              <w:rPr>
                <w:b/>
              </w:rPr>
            </w:pPr>
            <w:r>
              <w:rPr>
                <w:b/>
              </w:rPr>
              <w:t xml:space="preserve">Do not progress proposal </w:t>
            </w:r>
            <w:r>
              <w:rPr>
                <w:bCs/>
              </w:rPr>
              <w:t>to add the word ‘serious’ into Right 7(6)(d).</w:t>
            </w:r>
          </w:p>
          <w:p w14:paraId="4904BA7C" w14:textId="5A0BEEEE" w:rsidR="00CA2E7D" w:rsidRPr="0074716F" w:rsidRDefault="00CA2E7D" w:rsidP="00CA2E7D">
            <w:pPr>
              <w:pStyle w:val="ListParagraph"/>
              <w:numPr>
                <w:ilvl w:val="0"/>
                <w:numId w:val="29"/>
              </w:numPr>
              <w:spacing w:before="80" w:after="80"/>
            </w:pPr>
            <w:r>
              <w:rPr>
                <w:b/>
              </w:rPr>
              <w:t>The</w:t>
            </w:r>
            <w:r w:rsidRPr="001C428D">
              <w:rPr>
                <w:bCs/>
              </w:rPr>
              <w:t xml:space="preserve"> </w:t>
            </w:r>
            <w:r w:rsidRPr="00607C71">
              <w:rPr>
                <w:b/>
              </w:rPr>
              <w:t xml:space="preserve">Ministry of Health </w:t>
            </w:r>
            <w:r w:rsidRPr="00E93025">
              <w:rPr>
                <w:bCs/>
              </w:rPr>
              <w:t>work with</w:t>
            </w:r>
            <w:r w:rsidRPr="00B15A4D">
              <w:rPr>
                <w:bCs/>
              </w:rPr>
              <w:t xml:space="preserve"> HDC and other key stakeholders to improve practice and understanding in </w:t>
            </w:r>
            <w:r w:rsidRPr="00B15A4D">
              <w:rPr>
                <w:bCs/>
              </w:rPr>
              <w:lastRenderedPageBreak/>
              <w:t>relation to informed consent and risk. Note that this work needs to involve consumers.</w:t>
            </w:r>
            <w:r w:rsidRPr="00910485">
              <w:rPr>
                <w:bCs/>
              </w:rPr>
              <w:t xml:space="preserve">  </w:t>
            </w:r>
          </w:p>
        </w:tc>
      </w:tr>
      <w:tr w:rsidR="00B66A5B" w14:paraId="01C57C80" w14:textId="77777777" w:rsidTr="004D79F9">
        <w:tc>
          <w:tcPr>
            <w:tcW w:w="9350" w:type="dxa"/>
            <w:gridSpan w:val="2"/>
          </w:tcPr>
          <w:p w14:paraId="6731EFB2" w14:textId="4243201F" w:rsidR="00B66A5B" w:rsidRDefault="00B66A5B" w:rsidP="00B66A5B">
            <w:pPr>
              <w:spacing w:before="80" w:after="80"/>
              <w:jc w:val="right"/>
              <w:rPr>
                <w:lang w:val="en-NZ" w:eastAsia="en-US"/>
              </w:rPr>
            </w:pPr>
            <w:r w:rsidRPr="006842DF">
              <w:rPr>
                <w:b/>
                <w:bCs/>
                <w:lang w:val="en-NZ" w:eastAsia="en-US"/>
              </w:rPr>
              <w:lastRenderedPageBreak/>
              <w:t>Pages</w:t>
            </w:r>
            <w:r>
              <w:rPr>
                <w:b/>
                <w:bCs/>
                <w:lang w:val="en-NZ" w:eastAsia="en-US"/>
              </w:rPr>
              <w:t xml:space="preserve">: </w:t>
            </w:r>
            <w:r>
              <w:t>70 – 71</w:t>
            </w:r>
          </w:p>
        </w:tc>
      </w:tr>
      <w:tr w:rsidR="00B66A5B" w14:paraId="627E28D0" w14:textId="77777777" w:rsidTr="004D79F9">
        <w:tc>
          <w:tcPr>
            <w:tcW w:w="9350" w:type="dxa"/>
            <w:gridSpan w:val="2"/>
          </w:tcPr>
          <w:p w14:paraId="638E3B19" w14:textId="06E67014" w:rsidR="00B66A5B" w:rsidRPr="008F40F0" w:rsidRDefault="00B66A5B" w:rsidP="00CA2E7D">
            <w:pPr>
              <w:pStyle w:val="ListParagraph"/>
              <w:numPr>
                <w:ilvl w:val="0"/>
                <w:numId w:val="23"/>
              </w:numPr>
              <w:spacing w:before="80" w:after="80"/>
              <w:rPr>
                <w:color w:val="A6192E"/>
              </w:rPr>
            </w:pPr>
            <w:r w:rsidRPr="008F40F0">
              <w:rPr>
                <w:color w:val="A6192E"/>
              </w:rPr>
              <w:t xml:space="preserve">Clarify the Code’s definition of teaching and research </w:t>
            </w:r>
          </w:p>
        </w:tc>
      </w:tr>
      <w:tr w:rsidR="00CA2E7D" w14:paraId="78354C39" w14:textId="77777777" w:rsidTr="004D79F9">
        <w:tc>
          <w:tcPr>
            <w:tcW w:w="2294" w:type="dxa"/>
          </w:tcPr>
          <w:p w14:paraId="1CF0A1A2" w14:textId="7BB3A0BF"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08763E08" w14:textId="77777777" w:rsidR="00CA2E7D" w:rsidRPr="009553DA" w:rsidRDefault="00CA2E7D" w:rsidP="00CA2E7D">
            <w:pPr>
              <w:pStyle w:val="ListParagraph"/>
              <w:numPr>
                <w:ilvl w:val="0"/>
                <w:numId w:val="28"/>
              </w:numPr>
              <w:spacing w:before="80" w:after="80"/>
              <w:contextualSpacing w:val="0"/>
              <w:rPr>
                <w:b/>
                <w:bCs/>
              </w:rPr>
            </w:pPr>
            <w:r w:rsidRPr="00B76B24">
              <w:rPr>
                <w:b/>
                <w:bCs/>
              </w:rPr>
              <w:t>Do not progress</w:t>
            </w:r>
            <w:r w:rsidRPr="009553DA">
              <w:rPr>
                <w:b/>
                <w:bCs/>
              </w:rPr>
              <w:t xml:space="preserve"> </w:t>
            </w:r>
            <w:r w:rsidRPr="000C39B7">
              <w:t>suggestion to define teaching and research in the Code</w:t>
            </w:r>
            <w:r w:rsidRPr="009553DA">
              <w:rPr>
                <w:b/>
                <w:bCs/>
              </w:rPr>
              <w:t>.</w:t>
            </w:r>
          </w:p>
          <w:p w14:paraId="3B36802A" w14:textId="7192E1F2" w:rsidR="00CA2E7D" w:rsidRPr="00181114" w:rsidRDefault="00CA2E7D" w:rsidP="00CA2E7D">
            <w:pPr>
              <w:pStyle w:val="ListParagraph"/>
              <w:numPr>
                <w:ilvl w:val="0"/>
                <w:numId w:val="28"/>
              </w:numPr>
              <w:spacing w:before="80" w:after="80"/>
              <w:contextualSpacing w:val="0"/>
              <w:rPr>
                <w:b/>
                <w:bCs/>
                <w:lang w:val="en-US"/>
              </w:rPr>
            </w:pPr>
            <w:r>
              <w:rPr>
                <w:b/>
                <w:bCs/>
              </w:rPr>
              <w:t>T</w:t>
            </w:r>
            <w:r w:rsidRPr="00B76B24">
              <w:rPr>
                <w:b/>
                <w:bCs/>
              </w:rPr>
              <w:t>he Ministry of Health</w:t>
            </w:r>
            <w:r w:rsidRPr="00181114">
              <w:t>, in partnership with HDC and the National Ethics Advisory Committee, leads a work</w:t>
            </w:r>
            <w:r w:rsidRPr="00181114">
              <w:rPr>
                <w:b/>
                <w:bCs/>
                <w:lang w:val="en-US"/>
              </w:rPr>
              <w:t xml:space="preserve"> </w:t>
            </w:r>
            <w:r w:rsidRPr="00B76B24">
              <w:rPr>
                <w:lang w:val="en-US"/>
              </w:rPr>
              <w:t>programme around effective settings for research that best balance</w:t>
            </w:r>
            <w:r>
              <w:rPr>
                <w:lang w:val="en-US"/>
              </w:rPr>
              <w:t>s</w:t>
            </w:r>
            <w:r w:rsidRPr="00B76B24">
              <w:rPr>
                <w:lang w:val="en-US"/>
              </w:rPr>
              <w:t xml:space="preserve"> people’s rights and sector context. </w:t>
            </w:r>
          </w:p>
          <w:p w14:paraId="34DF9B22" w14:textId="77777777" w:rsidR="00CA2E7D" w:rsidRPr="00B76B24" w:rsidRDefault="00CA2E7D" w:rsidP="00CA2E7D">
            <w:pPr>
              <w:pStyle w:val="ListParagraph"/>
              <w:numPr>
                <w:ilvl w:val="0"/>
                <w:numId w:val="28"/>
              </w:numPr>
              <w:spacing w:before="80" w:after="80"/>
              <w:contextualSpacing w:val="0"/>
              <w:rPr>
                <w:b/>
                <w:bCs/>
                <w:lang w:val="en-US"/>
              </w:rPr>
            </w:pPr>
            <w:r w:rsidRPr="00B76B24">
              <w:rPr>
                <w:b/>
                <w:bCs/>
                <w:lang w:val="en-US"/>
              </w:rPr>
              <w:t xml:space="preserve">Note </w:t>
            </w:r>
            <w:r>
              <w:rPr>
                <w:b/>
                <w:bCs/>
                <w:lang w:val="en-US"/>
              </w:rPr>
              <w:t>that</w:t>
            </w:r>
            <w:r w:rsidRPr="00B76B24">
              <w:rPr>
                <w:b/>
                <w:bCs/>
                <w:lang w:val="en-US"/>
              </w:rPr>
              <w:t xml:space="preserve"> HDC has undertaken work </w:t>
            </w:r>
            <w:r w:rsidRPr="00B76B24">
              <w:rPr>
                <w:lang w:val="en-US"/>
              </w:rPr>
              <w:t xml:space="preserve">to promote informed consent in relation to teaching. </w:t>
            </w:r>
          </w:p>
          <w:p w14:paraId="5675972C" w14:textId="1758C808" w:rsidR="00CA2E7D" w:rsidRPr="0074716F" w:rsidRDefault="00CA2E7D" w:rsidP="00CA2E7D">
            <w:pPr>
              <w:pStyle w:val="ListParagraph"/>
              <w:numPr>
                <w:ilvl w:val="0"/>
                <w:numId w:val="28"/>
              </w:numPr>
              <w:spacing w:before="80" w:after="80"/>
            </w:pPr>
            <w:r w:rsidRPr="00970F1A">
              <w:rPr>
                <w:b/>
                <w:bCs/>
                <w:lang w:val="en-US"/>
              </w:rPr>
              <w:t>HDC</w:t>
            </w:r>
            <w:r w:rsidRPr="00181114">
              <w:rPr>
                <w:lang w:val="en-US"/>
              </w:rPr>
              <w:t xml:space="preserve"> to</w:t>
            </w:r>
            <w:r>
              <w:rPr>
                <w:lang w:val="en-US"/>
              </w:rPr>
              <w:t xml:space="preserve"> work with regulatory authorities to consider how expectations around informed consent in the context of teaching can be made clear across professions</w:t>
            </w:r>
            <w:r w:rsidRPr="00181114">
              <w:rPr>
                <w:lang w:val="en-US"/>
              </w:rPr>
              <w:t>.</w:t>
            </w:r>
          </w:p>
        </w:tc>
      </w:tr>
      <w:tr w:rsidR="00B66A5B" w14:paraId="6EC8D1D7" w14:textId="77777777" w:rsidTr="004D79F9">
        <w:tc>
          <w:tcPr>
            <w:tcW w:w="9350" w:type="dxa"/>
            <w:gridSpan w:val="2"/>
          </w:tcPr>
          <w:p w14:paraId="0F9F5692" w14:textId="617578E2" w:rsidR="00B66A5B" w:rsidRDefault="00B66A5B" w:rsidP="00B66A5B">
            <w:pPr>
              <w:spacing w:before="80" w:after="80"/>
              <w:jc w:val="right"/>
              <w:rPr>
                <w:lang w:val="en-NZ" w:eastAsia="en-US"/>
              </w:rPr>
            </w:pPr>
            <w:r w:rsidRPr="006842DF">
              <w:rPr>
                <w:b/>
                <w:bCs/>
                <w:lang w:val="en-NZ" w:eastAsia="en-US"/>
              </w:rPr>
              <w:t>Pages</w:t>
            </w:r>
            <w:r>
              <w:rPr>
                <w:b/>
                <w:bCs/>
                <w:lang w:val="en-NZ" w:eastAsia="en-US"/>
              </w:rPr>
              <w:t xml:space="preserve">: </w:t>
            </w:r>
            <w:r>
              <w:t>71–73</w:t>
            </w:r>
          </w:p>
        </w:tc>
      </w:tr>
      <w:tr w:rsidR="00B66A5B" w14:paraId="79B08639" w14:textId="77777777" w:rsidTr="004D79F9">
        <w:tc>
          <w:tcPr>
            <w:tcW w:w="9350" w:type="dxa"/>
            <w:gridSpan w:val="2"/>
          </w:tcPr>
          <w:p w14:paraId="58EF9192" w14:textId="65758A03" w:rsidR="00B66A5B" w:rsidRPr="008F40F0" w:rsidRDefault="00B66A5B" w:rsidP="00CA2E7D">
            <w:pPr>
              <w:spacing w:before="80" w:after="80"/>
              <w:ind w:left="357"/>
              <w:rPr>
                <w:color w:val="A6192E"/>
              </w:rPr>
            </w:pPr>
            <w:r w:rsidRPr="008F40F0">
              <w:rPr>
                <w:color w:val="A6192E"/>
              </w:rPr>
              <w:t xml:space="preserve">Other feedback to support minor and technical improvement </w:t>
            </w:r>
          </w:p>
        </w:tc>
      </w:tr>
      <w:tr w:rsidR="00CA2E7D" w14:paraId="69F7CCFC" w14:textId="77777777" w:rsidTr="004D79F9">
        <w:tc>
          <w:tcPr>
            <w:tcW w:w="2294" w:type="dxa"/>
          </w:tcPr>
          <w:p w14:paraId="041A200A" w14:textId="740EEECD" w:rsidR="00CA2E7D" w:rsidRDefault="00CA2E7D" w:rsidP="00CA2E7D">
            <w:pPr>
              <w:spacing w:before="80" w:after="80"/>
              <w:rPr>
                <w:lang w:val="en-NZ" w:eastAsia="en-US"/>
              </w:rPr>
            </w:pPr>
            <w:r w:rsidRPr="006842DF">
              <w:rPr>
                <w:b/>
                <w:bCs/>
                <w:lang w:val="en-NZ" w:eastAsia="en-US"/>
              </w:rPr>
              <w:t>Recommendations</w:t>
            </w:r>
            <w:r>
              <w:rPr>
                <w:b/>
                <w:bCs/>
                <w:lang w:val="en-NZ" w:eastAsia="en-US"/>
              </w:rPr>
              <w:t xml:space="preserve"> and response</w:t>
            </w:r>
          </w:p>
        </w:tc>
        <w:tc>
          <w:tcPr>
            <w:tcW w:w="7056" w:type="dxa"/>
          </w:tcPr>
          <w:p w14:paraId="794BBF53" w14:textId="33158D7E" w:rsidR="00CA2E7D" w:rsidRPr="0074716F" w:rsidRDefault="00CA2E7D" w:rsidP="00CA2E7D">
            <w:pPr>
              <w:pStyle w:val="ListParagraph"/>
              <w:numPr>
                <w:ilvl w:val="0"/>
                <w:numId w:val="27"/>
              </w:numPr>
              <w:spacing w:before="80" w:after="80"/>
            </w:pPr>
            <w:r w:rsidRPr="0074716F">
              <w:rPr>
                <w:b/>
              </w:rPr>
              <w:t>The Ministry of Health</w:t>
            </w:r>
            <w:r w:rsidRPr="005D04A0">
              <w:rPr>
                <w:b/>
              </w:rPr>
              <w:t xml:space="preserve"> </w:t>
            </w:r>
            <w:r w:rsidRPr="51765AD5">
              <w:t xml:space="preserve">consider </w:t>
            </w:r>
            <w:r w:rsidRPr="005D04A0">
              <w:rPr>
                <w:bCs/>
              </w:rPr>
              <w:t xml:space="preserve">changes to section 72 of the Act </w:t>
            </w:r>
            <w:r w:rsidR="00722A6F">
              <w:rPr>
                <w:bCs/>
              </w:rPr>
              <w:t>(</w:t>
            </w:r>
            <w:r w:rsidR="00B943EA">
              <w:rPr>
                <w:bCs/>
              </w:rPr>
              <w:t>Liability of employer and principal</w:t>
            </w:r>
            <w:r w:rsidR="00722A6F">
              <w:rPr>
                <w:bCs/>
              </w:rPr>
              <w:t xml:space="preserve">) </w:t>
            </w:r>
            <w:r w:rsidRPr="005D04A0">
              <w:rPr>
                <w:bCs/>
              </w:rPr>
              <w:t>to support clarity and appropriate accountability and better reflect current employment practices in the sector.</w:t>
            </w:r>
          </w:p>
        </w:tc>
      </w:tr>
      <w:tr w:rsidR="00B66A5B" w14:paraId="415AA6ED" w14:textId="77777777" w:rsidTr="004D79F9">
        <w:tc>
          <w:tcPr>
            <w:tcW w:w="9350" w:type="dxa"/>
            <w:gridSpan w:val="2"/>
          </w:tcPr>
          <w:p w14:paraId="5AFD455B" w14:textId="0F587BE8" w:rsidR="00B66A5B" w:rsidRDefault="00B66A5B" w:rsidP="00B66A5B">
            <w:pPr>
              <w:spacing w:before="80" w:after="80"/>
              <w:jc w:val="right"/>
              <w:rPr>
                <w:lang w:val="en-NZ" w:eastAsia="en-US"/>
              </w:rPr>
            </w:pPr>
            <w:r w:rsidRPr="006842DF">
              <w:rPr>
                <w:b/>
                <w:bCs/>
                <w:lang w:val="en-NZ" w:eastAsia="en-US"/>
              </w:rPr>
              <w:t>Pages</w:t>
            </w:r>
            <w:r>
              <w:rPr>
                <w:b/>
                <w:bCs/>
                <w:lang w:val="en-NZ" w:eastAsia="en-US"/>
              </w:rPr>
              <w:t xml:space="preserve">: </w:t>
            </w:r>
            <w:r>
              <w:t>73 – 75</w:t>
            </w:r>
          </w:p>
        </w:tc>
      </w:tr>
    </w:tbl>
    <w:p w14:paraId="3B587F69" w14:textId="77777777" w:rsidR="00F34087" w:rsidRPr="00F34087" w:rsidRDefault="00F34087" w:rsidP="00F34087">
      <w:pPr>
        <w:rPr>
          <w:lang w:val="en-NZ" w:eastAsia="en-US"/>
        </w:rPr>
      </w:pPr>
    </w:p>
    <w:p w14:paraId="70B229E9" w14:textId="77777777" w:rsidR="00E66F13" w:rsidRPr="005B66BE" w:rsidRDefault="00E66F13" w:rsidP="00BB6900">
      <w:pPr>
        <w:ind w:left="360"/>
      </w:pPr>
    </w:p>
    <w:sectPr w:rsidR="00E66F13" w:rsidRPr="005B66BE" w:rsidSect="00104FD1">
      <w:pgSz w:w="12240" w:h="15840"/>
      <w:pgMar w:top="1361" w:right="1440" w:bottom="1440"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9044AC" w14:textId="77777777" w:rsidR="000B68B6" w:rsidRDefault="000B68B6" w:rsidP="00253C4F">
      <w:pPr>
        <w:spacing w:after="0" w:line="240" w:lineRule="auto"/>
      </w:pPr>
      <w:r>
        <w:separator/>
      </w:r>
    </w:p>
  </w:endnote>
  <w:endnote w:type="continuationSeparator" w:id="0">
    <w:p w14:paraId="6BABDBBC" w14:textId="77777777" w:rsidR="000B68B6" w:rsidRDefault="000B68B6" w:rsidP="00253C4F">
      <w:pPr>
        <w:spacing w:after="0" w:line="240" w:lineRule="auto"/>
      </w:pPr>
      <w:r>
        <w:continuationSeparator/>
      </w:r>
    </w:p>
  </w:endnote>
  <w:endnote w:type="continuationNotice" w:id="1">
    <w:p w14:paraId="61EDD544" w14:textId="77777777" w:rsidR="000B68B6" w:rsidRDefault="000B6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720F6" w14:textId="77777777" w:rsidR="000B68B6" w:rsidRDefault="000B68B6" w:rsidP="00253C4F">
      <w:pPr>
        <w:spacing w:after="0" w:line="240" w:lineRule="auto"/>
      </w:pPr>
      <w:r>
        <w:separator/>
      </w:r>
    </w:p>
  </w:footnote>
  <w:footnote w:type="continuationSeparator" w:id="0">
    <w:p w14:paraId="212F6337" w14:textId="77777777" w:rsidR="000B68B6" w:rsidRDefault="000B68B6" w:rsidP="00253C4F">
      <w:pPr>
        <w:spacing w:after="0" w:line="240" w:lineRule="auto"/>
      </w:pPr>
      <w:r>
        <w:continuationSeparator/>
      </w:r>
    </w:p>
  </w:footnote>
  <w:footnote w:type="continuationNotice" w:id="1">
    <w:p w14:paraId="760D93B0" w14:textId="77777777" w:rsidR="000B68B6" w:rsidRDefault="000B68B6">
      <w:pPr>
        <w:spacing w:after="0" w:line="240" w:lineRule="auto"/>
      </w:pPr>
    </w:p>
  </w:footnote>
  <w:footnote w:id="2">
    <w:p w14:paraId="5A0D127E" w14:textId="77777777" w:rsidR="00B06AA1" w:rsidRPr="00024AA7" w:rsidRDefault="00B06AA1" w:rsidP="00B06AA1">
      <w:pPr>
        <w:pStyle w:val="FootnoteText"/>
        <w:rPr>
          <w:lang w:val="mi-NZ"/>
        </w:rPr>
      </w:pPr>
      <w:r>
        <w:rPr>
          <w:rStyle w:val="FootnoteReference"/>
        </w:rPr>
        <w:footnoteRef/>
      </w:r>
      <w:r>
        <w:t xml:space="preserve"> </w:t>
      </w:r>
      <w:r>
        <w:rPr>
          <w:lang w:val="mi-NZ"/>
        </w:rPr>
        <w:t xml:space="preserve">The new wording of Right 1(3) would now be: ‘Every consumer has the right to be provided with services that take into account their needs, </w:t>
      </w:r>
      <w:r w:rsidRPr="00D068B6">
        <w:rPr>
          <w:i/>
          <w:iCs/>
          <w:lang w:val="mi-NZ"/>
        </w:rPr>
        <w:t>tikanga</w:t>
      </w:r>
      <w:r w:rsidRPr="00C41B86">
        <w:rPr>
          <w:lang w:val="mi-NZ"/>
        </w:rPr>
        <w:t>,</w:t>
      </w:r>
      <w:r>
        <w:rPr>
          <w:lang w:val="mi-NZ"/>
        </w:rPr>
        <w:t xml:space="preserve"> culture, language, identity, values, and beliefs.’</w:t>
      </w:r>
    </w:p>
  </w:footnote>
  <w:footnote w:id="3">
    <w:p w14:paraId="5637AFC1" w14:textId="2B2F8ABE" w:rsidR="0082692B" w:rsidRPr="0082692B" w:rsidRDefault="0082692B">
      <w:pPr>
        <w:pStyle w:val="FootnoteText"/>
        <w:rPr>
          <w:lang w:val="mi-NZ"/>
        </w:rPr>
      </w:pPr>
      <w:r>
        <w:rPr>
          <w:rStyle w:val="FootnoteReference"/>
        </w:rPr>
        <w:footnoteRef/>
      </w:r>
      <w:r>
        <w:t xml:space="preserve"> Recommendation 24. </w:t>
      </w:r>
      <w:r w:rsidRPr="003E3BE8">
        <w:rPr>
          <w:i/>
          <w:iCs/>
        </w:rPr>
        <w:t>The Public’s Right to Know: Review of the Official Information Legislation.</w:t>
      </w:r>
      <w:r>
        <w:t xml:space="preserve"> Law Commission report; no.125, p. 130.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2E91"/>
    <w:multiLevelType w:val="hybridMultilevel"/>
    <w:tmpl w:val="5B0091E8"/>
    <w:lvl w:ilvl="0" w:tplc="33440DC2">
      <w:start w:val="1"/>
      <w:numFmt w:val="bullet"/>
      <w:lvlText w:val=""/>
      <w:lvlJc w:val="left"/>
      <w:pPr>
        <w:ind w:left="360" w:hanging="360"/>
      </w:pPr>
      <w:rPr>
        <w:rFonts w:ascii="Symbol" w:hAnsi="Symbol" w:hint="default"/>
        <w:b/>
        <w:bCs/>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3451913"/>
    <w:multiLevelType w:val="hybridMultilevel"/>
    <w:tmpl w:val="ECD2C630"/>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B92C5D"/>
    <w:multiLevelType w:val="hybridMultilevel"/>
    <w:tmpl w:val="B5565440"/>
    <w:lvl w:ilvl="0" w:tplc="33440DC2">
      <w:start w:val="1"/>
      <w:numFmt w:val="bullet"/>
      <w:lvlText w:val=""/>
      <w:lvlJc w:val="left"/>
      <w:pPr>
        <w:ind w:left="360" w:hanging="360"/>
      </w:pPr>
      <w:rPr>
        <w:rFonts w:ascii="Symbol" w:hAnsi="Symbol" w:hint="default"/>
        <w:b/>
        <w:bCs/>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A5C1B9C"/>
    <w:multiLevelType w:val="hybridMultilevel"/>
    <w:tmpl w:val="AB847D66"/>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247753"/>
    <w:multiLevelType w:val="hybridMultilevel"/>
    <w:tmpl w:val="0A748738"/>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E835A33"/>
    <w:multiLevelType w:val="hybridMultilevel"/>
    <w:tmpl w:val="F2FC7690"/>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0EB31338"/>
    <w:multiLevelType w:val="hybridMultilevel"/>
    <w:tmpl w:val="88D02000"/>
    <w:lvl w:ilvl="0" w:tplc="4F9EF22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97A1A27"/>
    <w:multiLevelType w:val="hybridMultilevel"/>
    <w:tmpl w:val="EB5E341E"/>
    <w:lvl w:ilvl="0" w:tplc="73283AC6">
      <w:start w:val="9"/>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B12458C"/>
    <w:multiLevelType w:val="hybridMultilevel"/>
    <w:tmpl w:val="BE9C1A90"/>
    <w:lvl w:ilvl="0" w:tplc="911C62EA">
      <w:start w:val="1"/>
      <w:numFmt w:val="bullet"/>
      <w:lvlText w:val=""/>
      <w:lvlJc w:val="left"/>
      <w:pPr>
        <w:ind w:left="720" w:hanging="360"/>
      </w:pPr>
      <w:rPr>
        <w:rFonts w:ascii="Symbol" w:hAnsi="Symbol" w:hint="default"/>
        <w:color w:val="A6192E"/>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CEC34DF"/>
    <w:multiLevelType w:val="hybridMultilevel"/>
    <w:tmpl w:val="C2189AFA"/>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3A331F"/>
    <w:multiLevelType w:val="hybridMultilevel"/>
    <w:tmpl w:val="AB822DFC"/>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5AA1F05"/>
    <w:multiLevelType w:val="hybridMultilevel"/>
    <w:tmpl w:val="5C9A1C38"/>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26D62717"/>
    <w:multiLevelType w:val="hybridMultilevel"/>
    <w:tmpl w:val="8C3E9C98"/>
    <w:lvl w:ilvl="0" w:tplc="911C62EA">
      <w:start w:val="1"/>
      <w:numFmt w:val="bullet"/>
      <w:lvlText w:val=""/>
      <w:lvlJc w:val="left"/>
      <w:pPr>
        <w:ind w:left="360" w:hanging="360"/>
      </w:pPr>
      <w:rPr>
        <w:rFonts w:ascii="Symbol" w:hAnsi="Symbol" w:hint="default"/>
        <w:color w:val="A6192E"/>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A926453"/>
    <w:multiLevelType w:val="hybridMultilevel"/>
    <w:tmpl w:val="36C21F38"/>
    <w:lvl w:ilvl="0" w:tplc="DDD247DE">
      <w:start w:val="4"/>
      <w:numFmt w:val="lowerLetter"/>
      <w:lvlText w:val="%1."/>
      <w:lvlJc w:val="left"/>
      <w:pPr>
        <w:ind w:left="720" w:hanging="360"/>
      </w:pPr>
      <w:rPr>
        <w:rFonts w:asciiTheme="minorHAnsi" w:eastAsiaTheme="minorEastAsia" w:hAnsiTheme="minorHAnsi"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AF07724"/>
    <w:multiLevelType w:val="hybridMultilevel"/>
    <w:tmpl w:val="1690D40C"/>
    <w:lvl w:ilvl="0" w:tplc="4E604DF4">
      <w:start w:val="1"/>
      <w:numFmt w:val="decimal"/>
      <w:lvlText w:val="%1."/>
      <w:lvlJc w:val="left"/>
      <w:pPr>
        <w:ind w:left="644" w:hanging="360"/>
      </w:pPr>
      <w:rPr>
        <w:color w:val="A6192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2B8C5CFF"/>
    <w:multiLevelType w:val="hybridMultilevel"/>
    <w:tmpl w:val="9724D618"/>
    <w:lvl w:ilvl="0" w:tplc="33440DC2">
      <w:start w:val="1"/>
      <w:numFmt w:val="bullet"/>
      <w:lvlText w:val=""/>
      <w:lvlJc w:val="left"/>
      <w:pPr>
        <w:ind w:left="360" w:hanging="360"/>
      </w:pPr>
      <w:rPr>
        <w:rFonts w:ascii="Symbol" w:hAnsi="Symbol" w:hint="default"/>
        <w:b/>
        <w:bCs/>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301C5C71"/>
    <w:multiLevelType w:val="hybridMultilevel"/>
    <w:tmpl w:val="F0AA5898"/>
    <w:lvl w:ilvl="0" w:tplc="33440DC2">
      <w:start w:val="1"/>
      <w:numFmt w:val="bullet"/>
      <w:lvlText w:val=""/>
      <w:lvlJc w:val="left"/>
      <w:pPr>
        <w:ind w:left="360" w:hanging="360"/>
      </w:pPr>
      <w:rPr>
        <w:rFonts w:ascii="Symbol" w:hAnsi="Symbol" w:hint="default"/>
        <w:b/>
        <w:bCs/>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124746D"/>
    <w:multiLevelType w:val="hybridMultilevel"/>
    <w:tmpl w:val="8D9649B6"/>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4321B25"/>
    <w:multiLevelType w:val="hybridMultilevel"/>
    <w:tmpl w:val="603EA254"/>
    <w:lvl w:ilvl="0" w:tplc="0A28E480">
      <w:start w:val="3"/>
      <w:numFmt w:val="lowerLetter"/>
      <w:lvlText w:val="%1."/>
      <w:lvlJc w:val="left"/>
      <w:pPr>
        <w:ind w:left="720" w:hanging="360"/>
      </w:pPr>
      <w:rPr>
        <w:rFonts w:asciiTheme="minorHAnsi" w:eastAsiaTheme="minorEastAsia"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647656"/>
    <w:multiLevelType w:val="hybridMultilevel"/>
    <w:tmpl w:val="90B6117A"/>
    <w:lvl w:ilvl="0" w:tplc="10726278">
      <w:start w:val="1"/>
      <w:numFmt w:val="lowerLetter"/>
      <w:lvlText w:val="%1."/>
      <w:lvlJc w:val="left"/>
      <w:pPr>
        <w:ind w:left="720" w:hanging="360"/>
      </w:pPr>
      <w:rPr>
        <w:rFonts w:asciiTheme="minorHAnsi" w:eastAsiaTheme="minorEastAsia" w:hAnsiTheme="minorHAnsi" w:cstheme="minorBidi"/>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66C12B0"/>
    <w:multiLevelType w:val="hybridMultilevel"/>
    <w:tmpl w:val="A99AF692"/>
    <w:lvl w:ilvl="0" w:tplc="89667062">
      <w:start w:val="7"/>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A6322B1"/>
    <w:multiLevelType w:val="hybridMultilevel"/>
    <w:tmpl w:val="1D7A18E6"/>
    <w:lvl w:ilvl="0" w:tplc="E42C189A">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FF7226F"/>
    <w:multiLevelType w:val="hybridMultilevel"/>
    <w:tmpl w:val="5F164DD6"/>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35318F6"/>
    <w:multiLevelType w:val="hybridMultilevel"/>
    <w:tmpl w:val="1642355C"/>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560319E"/>
    <w:multiLevelType w:val="hybridMultilevel"/>
    <w:tmpl w:val="ABBCBAD8"/>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7FD7E31"/>
    <w:multiLevelType w:val="hybridMultilevel"/>
    <w:tmpl w:val="F466AD22"/>
    <w:lvl w:ilvl="0" w:tplc="01162C0E">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C64DF6"/>
    <w:multiLevelType w:val="hybridMultilevel"/>
    <w:tmpl w:val="9BC0807A"/>
    <w:lvl w:ilvl="0" w:tplc="40125FB6">
      <w:start w:val="8"/>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4F53BA"/>
    <w:multiLevelType w:val="hybridMultilevel"/>
    <w:tmpl w:val="1640D7AC"/>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0F45CCC"/>
    <w:multiLevelType w:val="hybridMultilevel"/>
    <w:tmpl w:val="59FC6A8C"/>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51D47698"/>
    <w:multiLevelType w:val="hybridMultilevel"/>
    <w:tmpl w:val="086EC9FC"/>
    <w:lvl w:ilvl="0" w:tplc="F0082618">
      <w:start w:val="1"/>
      <w:numFmt w:val="decimal"/>
      <w:lvlText w:val="%1."/>
      <w:lvlJc w:val="left"/>
      <w:pPr>
        <w:ind w:left="720" w:hanging="360"/>
      </w:pPr>
      <w:rPr>
        <w:rFonts w:hint="default"/>
        <w:b/>
        <w:bCs/>
        <w:color w:val="A6192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4091CED"/>
    <w:multiLevelType w:val="hybridMultilevel"/>
    <w:tmpl w:val="38F8DB8E"/>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5780227F"/>
    <w:multiLevelType w:val="hybridMultilevel"/>
    <w:tmpl w:val="626EA218"/>
    <w:lvl w:ilvl="0" w:tplc="33440DC2">
      <w:start w:val="1"/>
      <w:numFmt w:val="bullet"/>
      <w:lvlText w:val=""/>
      <w:lvlJc w:val="left"/>
      <w:pPr>
        <w:ind w:left="720" w:hanging="360"/>
      </w:pPr>
      <w:rPr>
        <w:rFonts w:ascii="Symbol" w:hAnsi="Symbol" w:hint="default"/>
        <w:b/>
        <w:bCs/>
        <w:color w:val="A6192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E954D7"/>
    <w:multiLevelType w:val="hybridMultilevel"/>
    <w:tmpl w:val="18FAAC8E"/>
    <w:lvl w:ilvl="0" w:tplc="33440DC2">
      <w:start w:val="1"/>
      <w:numFmt w:val="bullet"/>
      <w:lvlText w:val=""/>
      <w:lvlJc w:val="left"/>
      <w:pPr>
        <w:ind w:left="720" w:hanging="360"/>
      </w:pPr>
      <w:rPr>
        <w:rFonts w:ascii="Symbol" w:hAnsi="Symbol" w:hint="default"/>
        <w:b/>
        <w:bCs/>
        <w:color w:val="A6192E"/>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CD05850"/>
    <w:multiLevelType w:val="hybridMultilevel"/>
    <w:tmpl w:val="475C0B00"/>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5D8453F8"/>
    <w:multiLevelType w:val="hybridMultilevel"/>
    <w:tmpl w:val="0A4ED416"/>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DE03000"/>
    <w:multiLevelType w:val="hybridMultilevel"/>
    <w:tmpl w:val="28C2E39A"/>
    <w:lvl w:ilvl="0" w:tplc="8AE01FCE">
      <w:start w:val="5"/>
      <w:numFmt w:val="lowerLetter"/>
      <w:lvlText w:val="%1."/>
      <w:lvlJc w:val="left"/>
      <w:pPr>
        <w:ind w:left="720" w:hanging="360"/>
      </w:pPr>
      <w:rPr>
        <w:rFonts w:asciiTheme="minorHAnsi" w:eastAsiaTheme="minorEastAsia" w:hAnsiTheme="minorHAnsi" w:cstheme="minorBid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E01115A"/>
    <w:multiLevelType w:val="hybridMultilevel"/>
    <w:tmpl w:val="AE3A8160"/>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7" w15:restartNumberingAfterBreak="0">
    <w:nsid w:val="5EC1629D"/>
    <w:multiLevelType w:val="hybridMultilevel"/>
    <w:tmpl w:val="C8D65F5E"/>
    <w:lvl w:ilvl="0" w:tplc="F9F4994C">
      <w:start w:val="5"/>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0A42CA3"/>
    <w:multiLevelType w:val="hybridMultilevel"/>
    <w:tmpl w:val="426EE5F8"/>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631D1D0D"/>
    <w:multiLevelType w:val="hybridMultilevel"/>
    <w:tmpl w:val="5B8C73A2"/>
    <w:lvl w:ilvl="0" w:tplc="A27AB06C">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34470ED"/>
    <w:multiLevelType w:val="hybridMultilevel"/>
    <w:tmpl w:val="48AEA882"/>
    <w:lvl w:ilvl="0" w:tplc="F906FD8E">
      <w:start w:val="6"/>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39C1B97"/>
    <w:multiLevelType w:val="hybridMultilevel"/>
    <w:tmpl w:val="4AC25572"/>
    <w:lvl w:ilvl="0" w:tplc="050CE5A4">
      <w:start w:val="1"/>
      <w:numFmt w:val="lowerLetter"/>
      <w:lvlText w:val="%1."/>
      <w:lvlJc w:val="left"/>
      <w:pPr>
        <w:ind w:left="720" w:hanging="360"/>
      </w:pPr>
      <w:rPr>
        <w:rFonts w:asciiTheme="minorHAnsi" w:eastAsiaTheme="minorEastAsia" w:hAnsiTheme="minorHAnsi" w:cstheme="minorBidi"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65507A40"/>
    <w:multiLevelType w:val="hybridMultilevel"/>
    <w:tmpl w:val="90D00B88"/>
    <w:lvl w:ilvl="0" w:tplc="33440DC2">
      <w:start w:val="1"/>
      <w:numFmt w:val="bullet"/>
      <w:lvlText w:val=""/>
      <w:lvlJc w:val="left"/>
      <w:pPr>
        <w:ind w:left="360" w:hanging="360"/>
      </w:pPr>
      <w:rPr>
        <w:rFonts w:ascii="Symbol" w:hAnsi="Symbol" w:hint="default"/>
        <w:b/>
        <w:bCs/>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65C63913"/>
    <w:multiLevelType w:val="hybridMultilevel"/>
    <w:tmpl w:val="9F82E62C"/>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97451B0"/>
    <w:multiLevelType w:val="hybridMultilevel"/>
    <w:tmpl w:val="AE76965E"/>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6C9D1CC6"/>
    <w:multiLevelType w:val="hybridMultilevel"/>
    <w:tmpl w:val="CBF032E2"/>
    <w:lvl w:ilvl="0" w:tplc="911C62EA">
      <w:start w:val="1"/>
      <w:numFmt w:val="bullet"/>
      <w:lvlText w:val=""/>
      <w:lvlJc w:val="left"/>
      <w:pPr>
        <w:ind w:left="360" w:hanging="360"/>
      </w:pPr>
      <w:rPr>
        <w:rFonts w:ascii="Symbol" w:hAnsi="Symbol" w:hint="default"/>
        <w:color w:val="A6192E"/>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6DCB4E11"/>
    <w:multiLevelType w:val="hybridMultilevel"/>
    <w:tmpl w:val="4E126D48"/>
    <w:lvl w:ilvl="0" w:tplc="911C62EA">
      <w:start w:val="1"/>
      <w:numFmt w:val="bullet"/>
      <w:lvlText w:val=""/>
      <w:lvlJc w:val="left"/>
      <w:pPr>
        <w:ind w:left="360" w:hanging="360"/>
      </w:pPr>
      <w:rPr>
        <w:rFonts w:ascii="Symbol" w:hAnsi="Symbol" w:hint="default"/>
        <w:color w:val="A6192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7" w15:restartNumberingAfterBreak="0">
    <w:nsid w:val="71465B68"/>
    <w:multiLevelType w:val="hybridMultilevel"/>
    <w:tmpl w:val="501836D4"/>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2225FF0"/>
    <w:multiLevelType w:val="hybridMultilevel"/>
    <w:tmpl w:val="8A20721E"/>
    <w:lvl w:ilvl="0" w:tplc="ABB2541C">
      <w:start w:val="4"/>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7A9F7CBB"/>
    <w:multiLevelType w:val="hybridMultilevel"/>
    <w:tmpl w:val="BB149516"/>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0" w15:restartNumberingAfterBreak="0">
    <w:nsid w:val="7C657B62"/>
    <w:multiLevelType w:val="hybridMultilevel"/>
    <w:tmpl w:val="9218417C"/>
    <w:lvl w:ilvl="0" w:tplc="911C62EA">
      <w:start w:val="1"/>
      <w:numFmt w:val="bullet"/>
      <w:lvlText w:val=""/>
      <w:lvlJc w:val="left"/>
      <w:pPr>
        <w:ind w:left="360" w:hanging="360"/>
      </w:pPr>
      <w:rPr>
        <w:rFonts w:ascii="Symbol" w:hAnsi="Symbol" w:hint="default"/>
        <w:color w:val="A6192E"/>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DE17A2C"/>
    <w:multiLevelType w:val="hybridMultilevel"/>
    <w:tmpl w:val="D9E0034A"/>
    <w:lvl w:ilvl="0" w:tplc="5D504926">
      <w:start w:val="3"/>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8111703">
    <w:abstractNumId w:val="14"/>
  </w:num>
  <w:num w:numId="2" w16cid:durableId="1012755308">
    <w:abstractNumId w:val="32"/>
  </w:num>
  <w:num w:numId="3" w16cid:durableId="1613632044">
    <w:abstractNumId w:val="29"/>
  </w:num>
  <w:num w:numId="4" w16cid:durableId="1962690836">
    <w:abstractNumId w:val="19"/>
  </w:num>
  <w:num w:numId="5" w16cid:durableId="1908605750">
    <w:abstractNumId w:val="36"/>
  </w:num>
  <w:num w:numId="6" w16cid:durableId="1855456413">
    <w:abstractNumId w:val="21"/>
  </w:num>
  <w:num w:numId="7" w16cid:durableId="255407534">
    <w:abstractNumId w:val="18"/>
  </w:num>
  <w:num w:numId="8" w16cid:durableId="592864524">
    <w:abstractNumId w:val="2"/>
  </w:num>
  <w:num w:numId="9" w16cid:durableId="379746363">
    <w:abstractNumId w:val="31"/>
  </w:num>
  <w:num w:numId="10" w16cid:durableId="412167103">
    <w:abstractNumId w:val="16"/>
  </w:num>
  <w:num w:numId="11" w16cid:durableId="762530639">
    <w:abstractNumId w:val="42"/>
  </w:num>
  <w:num w:numId="12" w16cid:durableId="853226740">
    <w:abstractNumId w:val="13"/>
  </w:num>
  <w:num w:numId="13" w16cid:durableId="485360902">
    <w:abstractNumId w:val="35"/>
  </w:num>
  <w:num w:numId="14" w16cid:durableId="136336587">
    <w:abstractNumId w:val="6"/>
  </w:num>
  <w:num w:numId="15" w16cid:durableId="1132291520">
    <w:abstractNumId w:val="39"/>
  </w:num>
  <w:num w:numId="16" w16cid:durableId="1342048305">
    <w:abstractNumId w:val="48"/>
  </w:num>
  <w:num w:numId="17" w16cid:durableId="985475086">
    <w:abstractNumId w:val="51"/>
  </w:num>
  <w:num w:numId="18" w16cid:durableId="1990547095">
    <w:abstractNumId w:val="25"/>
  </w:num>
  <w:num w:numId="19" w16cid:durableId="1582760055">
    <w:abstractNumId w:val="37"/>
  </w:num>
  <w:num w:numId="20" w16cid:durableId="271979217">
    <w:abstractNumId w:val="40"/>
  </w:num>
  <w:num w:numId="21" w16cid:durableId="793446715">
    <w:abstractNumId w:val="20"/>
  </w:num>
  <w:num w:numId="22" w16cid:durableId="167911959">
    <w:abstractNumId w:val="26"/>
  </w:num>
  <w:num w:numId="23" w16cid:durableId="144274685">
    <w:abstractNumId w:val="7"/>
  </w:num>
  <w:num w:numId="24" w16cid:durableId="1759207428">
    <w:abstractNumId w:val="15"/>
  </w:num>
  <w:num w:numId="25" w16cid:durableId="675808940">
    <w:abstractNumId w:val="0"/>
  </w:num>
  <w:num w:numId="26" w16cid:durableId="125970079">
    <w:abstractNumId w:val="9"/>
  </w:num>
  <w:num w:numId="27" w16cid:durableId="941112298">
    <w:abstractNumId w:val="17"/>
  </w:num>
  <w:num w:numId="28" w16cid:durableId="1668285885">
    <w:abstractNumId w:val="49"/>
  </w:num>
  <w:num w:numId="29" w16cid:durableId="1793210825">
    <w:abstractNumId w:val="30"/>
  </w:num>
  <w:num w:numId="30" w16cid:durableId="687951381">
    <w:abstractNumId w:val="50"/>
  </w:num>
  <w:num w:numId="31" w16cid:durableId="2031829311">
    <w:abstractNumId w:val="10"/>
  </w:num>
  <w:num w:numId="32" w16cid:durableId="1205488264">
    <w:abstractNumId w:val="23"/>
  </w:num>
  <w:num w:numId="33" w16cid:durableId="525215599">
    <w:abstractNumId w:val="34"/>
  </w:num>
  <w:num w:numId="34" w16cid:durableId="1276711761">
    <w:abstractNumId w:val="28"/>
  </w:num>
  <w:num w:numId="35" w16cid:durableId="1462112275">
    <w:abstractNumId w:val="43"/>
  </w:num>
  <w:num w:numId="36" w16cid:durableId="948664442">
    <w:abstractNumId w:val="22"/>
  </w:num>
  <w:num w:numId="37" w16cid:durableId="1603027452">
    <w:abstractNumId w:val="47"/>
  </w:num>
  <w:num w:numId="38" w16cid:durableId="1022390848">
    <w:abstractNumId w:val="24"/>
  </w:num>
  <w:num w:numId="39" w16cid:durableId="334652245">
    <w:abstractNumId w:val="5"/>
  </w:num>
  <w:num w:numId="40" w16cid:durableId="1811943623">
    <w:abstractNumId w:val="3"/>
  </w:num>
  <w:num w:numId="41" w16cid:durableId="612784885">
    <w:abstractNumId w:val="12"/>
  </w:num>
  <w:num w:numId="42" w16cid:durableId="846863819">
    <w:abstractNumId w:val="46"/>
  </w:num>
  <w:num w:numId="43" w16cid:durableId="1369718140">
    <w:abstractNumId w:val="27"/>
  </w:num>
  <w:num w:numId="44" w16cid:durableId="1286960566">
    <w:abstractNumId w:val="33"/>
  </w:num>
  <w:num w:numId="45" w16cid:durableId="261570642">
    <w:abstractNumId w:val="44"/>
  </w:num>
  <w:num w:numId="46" w16cid:durableId="660428516">
    <w:abstractNumId w:val="11"/>
  </w:num>
  <w:num w:numId="47" w16cid:durableId="2080863272">
    <w:abstractNumId w:val="45"/>
  </w:num>
  <w:num w:numId="48" w16cid:durableId="574823792">
    <w:abstractNumId w:val="1"/>
  </w:num>
  <w:num w:numId="49" w16cid:durableId="788889555">
    <w:abstractNumId w:val="38"/>
  </w:num>
  <w:num w:numId="50" w16cid:durableId="1930504308">
    <w:abstractNumId w:val="8"/>
  </w:num>
  <w:num w:numId="51" w16cid:durableId="2098747094">
    <w:abstractNumId w:val="4"/>
  </w:num>
  <w:num w:numId="52" w16cid:durableId="918254665">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30F7E50"/>
    <w:rsid w:val="000166FF"/>
    <w:rsid w:val="000302F6"/>
    <w:rsid w:val="00034F06"/>
    <w:rsid w:val="00051015"/>
    <w:rsid w:val="00063B48"/>
    <w:rsid w:val="0007541C"/>
    <w:rsid w:val="000770FC"/>
    <w:rsid w:val="00084290"/>
    <w:rsid w:val="0008683F"/>
    <w:rsid w:val="00092104"/>
    <w:rsid w:val="000A0573"/>
    <w:rsid w:val="000A292E"/>
    <w:rsid w:val="000B1D53"/>
    <w:rsid w:val="000B3745"/>
    <w:rsid w:val="000B3769"/>
    <w:rsid w:val="000B68B6"/>
    <w:rsid w:val="000C1C84"/>
    <w:rsid w:val="000C39B7"/>
    <w:rsid w:val="000C50EE"/>
    <w:rsid w:val="000C55F4"/>
    <w:rsid w:val="000C7180"/>
    <w:rsid w:val="000E0379"/>
    <w:rsid w:val="000E0EF5"/>
    <w:rsid w:val="000E2D0A"/>
    <w:rsid w:val="000E3543"/>
    <w:rsid w:val="000E6ED4"/>
    <w:rsid w:val="00104697"/>
    <w:rsid w:val="00104FD1"/>
    <w:rsid w:val="0011103B"/>
    <w:rsid w:val="00114A1B"/>
    <w:rsid w:val="00115200"/>
    <w:rsid w:val="00124D63"/>
    <w:rsid w:val="00133E50"/>
    <w:rsid w:val="0015216D"/>
    <w:rsid w:val="00156CF7"/>
    <w:rsid w:val="00164E94"/>
    <w:rsid w:val="001661BE"/>
    <w:rsid w:val="00171E67"/>
    <w:rsid w:val="00180563"/>
    <w:rsid w:val="00181483"/>
    <w:rsid w:val="001A1720"/>
    <w:rsid w:val="001B4E5D"/>
    <w:rsid w:val="001B792A"/>
    <w:rsid w:val="001B7EC9"/>
    <w:rsid w:val="001C166B"/>
    <w:rsid w:val="001C212A"/>
    <w:rsid w:val="001D4D1B"/>
    <w:rsid w:val="001E11DB"/>
    <w:rsid w:val="001E2EEB"/>
    <w:rsid w:val="001E611D"/>
    <w:rsid w:val="001E65EE"/>
    <w:rsid w:val="001F00BB"/>
    <w:rsid w:val="0020384F"/>
    <w:rsid w:val="002173E0"/>
    <w:rsid w:val="00221796"/>
    <w:rsid w:val="00224263"/>
    <w:rsid w:val="002266EF"/>
    <w:rsid w:val="00242376"/>
    <w:rsid w:val="002462DA"/>
    <w:rsid w:val="00250B22"/>
    <w:rsid w:val="00253C4F"/>
    <w:rsid w:val="002548D0"/>
    <w:rsid w:val="0025773E"/>
    <w:rsid w:val="00284269"/>
    <w:rsid w:val="00295613"/>
    <w:rsid w:val="00297F23"/>
    <w:rsid w:val="002A397F"/>
    <w:rsid w:val="002D2CCF"/>
    <w:rsid w:val="002F23F6"/>
    <w:rsid w:val="00305AF4"/>
    <w:rsid w:val="0032095C"/>
    <w:rsid w:val="00326FB7"/>
    <w:rsid w:val="0033578A"/>
    <w:rsid w:val="00347573"/>
    <w:rsid w:val="003522FB"/>
    <w:rsid w:val="00352902"/>
    <w:rsid w:val="00363CF8"/>
    <w:rsid w:val="00365098"/>
    <w:rsid w:val="00371C87"/>
    <w:rsid w:val="003745FA"/>
    <w:rsid w:val="003762F7"/>
    <w:rsid w:val="00381E2E"/>
    <w:rsid w:val="00383B4E"/>
    <w:rsid w:val="00394A4C"/>
    <w:rsid w:val="003A3AE7"/>
    <w:rsid w:val="003A3B05"/>
    <w:rsid w:val="003A406C"/>
    <w:rsid w:val="003B6319"/>
    <w:rsid w:val="003B74D1"/>
    <w:rsid w:val="003C0421"/>
    <w:rsid w:val="003C6076"/>
    <w:rsid w:val="003D5A96"/>
    <w:rsid w:val="003D5D05"/>
    <w:rsid w:val="003E1A83"/>
    <w:rsid w:val="003E68CB"/>
    <w:rsid w:val="003F2115"/>
    <w:rsid w:val="00416C8D"/>
    <w:rsid w:val="00416D24"/>
    <w:rsid w:val="0042096E"/>
    <w:rsid w:val="0042586D"/>
    <w:rsid w:val="004317DF"/>
    <w:rsid w:val="00433141"/>
    <w:rsid w:val="004354D5"/>
    <w:rsid w:val="00446D47"/>
    <w:rsid w:val="00455202"/>
    <w:rsid w:val="004648EB"/>
    <w:rsid w:val="00467C84"/>
    <w:rsid w:val="00472E4D"/>
    <w:rsid w:val="00473F66"/>
    <w:rsid w:val="00482845"/>
    <w:rsid w:val="0048705F"/>
    <w:rsid w:val="004A1644"/>
    <w:rsid w:val="004A2DCE"/>
    <w:rsid w:val="004A38DC"/>
    <w:rsid w:val="004C3652"/>
    <w:rsid w:val="004C4481"/>
    <w:rsid w:val="004D28F5"/>
    <w:rsid w:val="004D79F9"/>
    <w:rsid w:val="004E441A"/>
    <w:rsid w:val="004F73FB"/>
    <w:rsid w:val="004F759A"/>
    <w:rsid w:val="00510EBE"/>
    <w:rsid w:val="00533593"/>
    <w:rsid w:val="00543F46"/>
    <w:rsid w:val="00552D97"/>
    <w:rsid w:val="00553ACB"/>
    <w:rsid w:val="005614EE"/>
    <w:rsid w:val="00564DA3"/>
    <w:rsid w:val="005652C0"/>
    <w:rsid w:val="00572053"/>
    <w:rsid w:val="00582813"/>
    <w:rsid w:val="005829B6"/>
    <w:rsid w:val="005A456C"/>
    <w:rsid w:val="005A62A8"/>
    <w:rsid w:val="005B01FD"/>
    <w:rsid w:val="005B66BE"/>
    <w:rsid w:val="005B79E5"/>
    <w:rsid w:val="005D04A0"/>
    <w:rsid w:val="005D5D22"/>
    <w:rsid w:val="005F4B3D"/>
    <w:rsid w:val="005F5C9B"/>
    <w:rsid w:val="005F6837"/>
    <w:rsid w:val="00600256"/>
    <w:rsid w:val="00605A7F"/>
    <w:rsid w:val="00607C71"/>
    <w:rsid w:val="006111AF"/>
    <w:rsid w:val="00613B1D"/>
    <w:rsid w:val="00632B81"/>
    <w:rsid w:val="00652BE2"/>
    <w:rsid w:val="00654A76"/>
    <w:rsid w:val="00656DDA"/>
    <w:rsid w:val="00662AD2"/>
    <w:rsid w:val="006743CB"/>
    <w:rsid w:val="0068046B"/>
    <w:rsid w:val="00681E66"/>
    <w:rsid w:val="006842DF"/>
    <w:rsid w:val="006870AA"/>
    <w:rsid w:val="006C248F"/>
    <w:rsid w:val="006C2941"/>
    <w:rsid w:val="006D0C32"/>
    <w:rsid w:val="006D2192"/>
    <w:rsid w:val="006D6DF3"/>
    <w:rsid w:val="006E1838"/>
    <w:rsid w:val="006F2A65"/>
    <w:rsid w:val="0071298B"/>
    <w:rsid w:val="00722A6F"/>
    <w:rsid w:val="0072458E"/>
    <w:rsid w:val="007367C6"/>
    <w:rsid w:val="00737292"/>
    <w:rsid w:val="0074716F"/>
    <w:rsid w:val="007607FE"/>
    <w:rsid w:val="00773E22"/>
    <w:rsid w:val="00775870"/>
    <w:rsid w:val="00793A14"/>
    <w:rsid w:val="0079784C"/>
    <w:rsid w:val="007A549D"/>
    <w:rsid w:val="007C2428"/>
    <w:rsid w:val="007F0140"/>
    <w:rsid w:val="0081721E"/>
    <w:rsid w:val="00824AC9"/>
    <w:rsid w:val="0082692B"/>
    <w:rsid w:val="00836086"/>
    <w:rsid w:val="00844029"/>
    <w:rsid w:val="00846AF8"/>
    <w:rsid w:val="00862F4C"/>
    <w:rsid w:val="00864039"/>
    <w:rsid w:val="008722E0"/>
    <w:rsid w:val="0088473A"/>
    <w:rsid w:val="008939B6"/>
    <w:rsid w:val="008951B8"/>
    <w:rsid w:val="00896B51"/>
    <w:rsid w:val="008A123C"/>
    <w:rsid w:val="008A48EA"/>
    <w:rsid w:val="008B3CB1"/>
    <w:rsid w:val="008C01E8"/>
    <w:rsid w:val="008D4E1D"/>
    <w:rsid w:val="008E3986"/>
    <w:rsid w:val="008E3A8C"/>
    <w:rsid w:val="008F2BB7"/>
    <w:rsid w:val="008F40F0"/>
    <w:rsid w:val="008F5451"/>
    <w:rsid w:val="00934A82"/>
    <w:rsid w:val="00935240"/>
    <w:rsid w:val="00941343"/>
    <w:rsid w:val="00941989"/>
    <w:rsid w:val="00947D12"/>
    <w:rsid w:val="009553DA"/>
    <w:rsid w:val="00956F08"/>
    <w:rsid w:val="00964092"/>
    <w:rsid w:val="00980B23"/>
    <w:rsid w:val="00986237"/>
    <w:rsid w:val="00986B7E"/>
    <w:rsid w:val="00992A2A"/>
    <w:rsid w:val="00994760"/>
    <w:rsid w:val="00994A9D"/>
    <w:rsid w:val="0099773D"/>
    <w:rsid w:val="009A1C8D"/>
    <w:rsid w:val="009C47EB"/>
    <w:rsid w:val="00A00BF6"/>
    <w:rsid w:val="00A05D11"/>
    <w:rsid w:val="00A11ECD"/>
    <w:rsid w:val="00A52624"/>
    <w:rsid w:val="00A55AEA"/>
    <w:rsid w:val="00A63E23"/>
    <w:rsid w:val="00A73D8F"/>
    <w:rsid w:val="00A7603E"/>
    <w:rsid w:val="00A83FB8"/>
    <w:rsid w:val="00AA3B83"/>
    <w:rsid w:val="00AA50BF"/>
    <w:rsid w:val="00AB662D"/>
    <w:rsid w:val="00AC5052"/>
    <w:rsid w:val="00AC780C"/>
    <w:rsid w:val="00AD2598"/>
    <w:rsid w:val="00AD3E09"/>
    <w:rsid w:val="00AD4B31"/>
    <w:rsid w:val="00AE184C"/>
    <w:rsid w:val="00B0023D"/>
    <w:rsid w:val="00B0413F"/>
    <w:rsid w:val="00B05454"/>
    <w:rsid w:val="00B06AA1"/>
    <w:rsid w:val="00B12CED"/>
    <w:rsid w:val="00B13CCE"/>
    <w:rsid w:val="00B30C2E"/>
    <w:rsid w:val="00B36E09"/>
    <w:rsid w:val="00B54403"/>
    <w:rsid w:val="00B574AB"/>
    <w:rsid w:val="00B60D77"/>
    <w:rsid w:val="00B664B0"/>
    <w:rsid w:val="00B66A5B"/>
    <w:rsid w:val="00B74625"/>
    <w:rsid w:val="00B87037"/>
    <w:rsid w:val="00B943EA"/>
    <w:rsid w:val="00B94AFA"/>
    <w:rsid w:val="00B96F13"/>
    <w:rsid w:val="00BB032C"/>
    <w:rsid w:val="00BB6900"/>
    <w:rsid w:val="00BD1AE7"/>
    <w:rsid w:val="00BD34C6"/>
    <w:rsid w:val="00BE1A27"/>
    <w:rsid w:val="00BE1FD5"/>
    <w:rsid w:val="00BF13B3"/>
    <w:rsid w:val="00BF153A"/>
    <w:rsid w:val="00BF238D"/>
    <w:rsid w:val="00C064D3"/>
    <w:rsid w:val="00C13596"/>
    <w:rsid w:val="00C16C11"/>
    <w:rsid w:val="00C26A65"/>
    <w:rsid w:val="00C325DB"/>
    <w:rsid w:val="00C476EA"/>
    <w:rsid w:val="00C53B6C"/>
    <w:rsid w:val="00C548F8"/>
    <w:rsid w:val="00C74581"/>
    <w:rsid w:val="00C806C6"/>
    <w:rsid w:val="00C87437"/>
    <w:rsid w:val="00CA064B"/>
    <w:rsid w:val="00CA264D"/>
    <w:rsid w:val="00CA2E7D"/>
    <w:rsid w:val="00CB06CC"/>
    <w:rsid w:val="00CB1E70"/>
    <w:rsid w:val="00CC534A"/>
    <w:rsid w:val="00CF7CF8"/>
    <w:rsid w:val="00D1451E"/>
    <w:rsid w:val="00D16F84"/>
    <w:rsid w:val="00D20F77"/>
    <w:rsid w:val="00D22E1D"/>
    <w:rsid w:val="00D32424"/>
    <w:rsid w:val="00D50F81"/>
    <w:rsid w:val="00D56DBD"/>
    <w:rsid w:val="00D66F8A"/>
    <w:rsid w:val="00D849CF"/>
    <w:rsid w:val="00DA7BB8"/>
    <w:rsid w:val="00DB4E85"/>
    <w:rsid w:val="00DB5AFE"/>
    <w:rsid w:val="00DC4E7E"/>
    <w:rsid w:val="00DD040E"/>
    <w:rsid w:val="00DD4822"/>
    <w:rsid w:val="00DF13BF"/>
    <w:rsid w:val="00DF37EC"/>
    <w:rsid w:val="00E041BA"/>
    <w:rsid w:val="00E05D80"/>
    <w:rsid w:val="00E33D5F"/>
    <w:rsid w:val="00E40CF8"/>
    <w:rsid w:val="00E500B6"/>
    <w:rsid w:val="00E50204"/>
    <w:rsid w:val="00E66F13"/>
    <w:rsid w:val="00E74270"/>
    <w:rsid w:val="00E744DF"/>
    <w:rsid w:val="00E752DF"/>
    <w:rsid w:val="00E75346"/>
    <w:rsid w:val="00E93025"/>
    <w:rsid w:val="00EB60C5"/>
    <w:rsid w:val="00ED2E32"/>
    <w:rsid w:val="00EE4858"/>
    <w:rsid w:val="00EF1EAB"/>
    <w:rsid w:val="00EF6DCC"/>
    <w:rsid w:val="00F001CF"/>
    <w:rsid w:val="00F02CF8"/>
    <w:rsid w:val="00F03F95"/>
    <w:rsid w:val="00F116E6"/>
    <w:rsid w:val="00F17027"/>
    <w:rsid w:val="00F25A9C"/>
    <w:rsid w:val="00F30629"/>
    <w:rsid w:val="00F34087"/>
    <w:rsid w:val="00F41347"/>
    <w:rsid w:val="00F43D65"/>
    <w:rsid w:val="00F646DA"/>
    <w:rsid w:val="00F700A3"/>
    <w:rsid w:val="00F7565D"/>
    <w:rsid w:val="00F82506"/>
    <w:rsid w:val="00FA17D7"/>
    <w:rsid w:val="00FA6AEB"/>
    <w:rsid w:val="00FC1417"/>
    <w:rsid w:val="00FC6EAC"/>
    <w:rsid w:val="00FD7E45"/>
    <w:rsid w:val="00FE43E5"/>
    <w:rsid w:val="00FF21FC"/>
    <w:rsid w:val="00FF2898"/>
    <w:rsid w:val="00FF5EE9"/>
    <w:rsid w:val="2FBFCA31"/>
    <w:rsid w:val="630F7E50"/>
    <w:rsid w:val="7DC9D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0F7E50"/>
  <w15:chartTrackingRefBased/>
  <w15:docId w15:val="{CCA840C9-5BF7-4D35-B3B9-F2BDB078B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aliases w:val="Bullet Normal,List Paragraph1,List Paragraph11,Recommendation,First level bullet point,Level 3,List Paragraph numbered,List Bullet indent,Body,Rec para,List 1,Other List,FooterText,numbered,Paragraphe de liste1,Bulletr List Paragraph,列出段落"/>
    <w:basedOn w:val="Normal"/>
    <w:link w:val="ListParagraphChar"/>
    <w:uiPriority w:val="34"/>
    <w:qFormat/>
    <w:rsid w:val="002F23F6"/>
    <w:pPr>
      <w:spacing w:after="200" w:line="276" w:lineRule="auto"/>
      <w:ind w:left="720"/>
      <w:contextualSpacing/>
    </w:pPr>
    <w:rPr>
      <w:rFonts w:ascii="Aptos" w:eastAsiaTheme="minorHAnsi" w:hAnsi="Aptos" w:cs="Arial"/>
      <w:lang w:val="en-NZ" w:eastAsia="en-US"/>
    </w:rPr>
  </w:style>
  <w:style w:type="character" w:customStyle="1" w:styleId="ListParagraphChar">
    <w:name w:val="List Paragraph Char"/>
    <w:aliases w:val="Bullet Normal Char,List Paragraph1 Char,List Paragraph11 Char,Recommendation Char,First level bullet point Char,Level 3 Char,List Paragraph numbered Char,List Bullet indent Char,Body Char,Rec para Char,List 1 Char,Other List Char"/>
    <w:basedOn w:val="DefaultParagraphFont"/>
    <w:link w:val="ListParagraph"/>
    <w:uiPriority w:val="34"/>
    <w:locked/>
    <w:rsid w:val="002F23F6"/>
    <w:rPr>
      <w:rFonts w:ascii="Aptos" w:eastAsiaTheme="minorHAnsi" w:hAnsi="Aptos" w:cs="Arial"/>
      <w:lang w:val="en-NZ" w:eastAsia="en-US"/>
    </w:rPr>
  </w:style>
  <w:style w:type="character" w:styleId="FootnoteReference">
    <w:name w:val="footnote reference"/>
    <w:basedOn w:val="DefaultParagraphFont"/>
    <w:uiPriority w:val="99"/>
    <w:semiHidden/>
    <w:unhideWhenUsed/>
    <w:rsid w:val="00BD1AE7"/>
    <w:rPr>
      <w:vertAlign w:val="superscript"/>
    </w:rPr>
  </w:style>
  <w:style w:type="table" w:styleId="PlainTable4">
    <w:name w:val="Plain Table 4"/>
    <w:basedOn w:val="TableNormal"/>
    <w:uiPriority w:val="44"/>
    <w:rsid w:val="00582813"/>
    <w:pPr>
      <w:spacing w:after="0" w:line="240" w:lineRule="auto"/>
    </w:pPr>
    <w:rPr>
      <w:rFonts w:eastAsiaTheme="minorHAnsi"/>
      <w:sz w:val="22"/>
      <w:szCs w:val="22"/>
      <w:lang w:val="en-NZ"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253C4F"/>
    <w:pPr>
      <w:spacing w:after="0" w:line="240" w:lineRule="auto"/>
    </w:pPr>
    <w:rPr>
      <w:rFonts w:ascii="Aptos" w:eastAsiaTheme="minorHAnsi" w:hAnsi="Aptos" w:cs="Arial"/>
      <w:sz w:val="20"/>
      <w:szCs w:val="20"/>
      <w:lang w:val="en-NZ" w:eastAsia="en-US"/>
    </w:rPr>
  </w:style>
  <w:style w:type="character" w:customStyle="1" w:styleId="FootnoteTextChar">
    <w:name w:val="Footnote Text Char"/>
    <w:basedOn w:val="DefaultParagraphFont"/>
    <w:link w:val="FootnoteText"/>
    <w:uiPriority w:val="99"/>
    <w:rsid w:val="00253C4F"/>
    <w:rPr>
      <w:rFonts w:ascii="Aptos" w:eastAsiaTheme="minorHAnsi" w:hAnsi="Aptos" w:cs="Arial"/>
      <w:sz w:val="20"/>
      <w:szCs w:val="20"/>
      <w:lang w:val="en-NZ" w:eastAsia="en-US"/>
    </w:rPr>
  </w:style>
  <w:style w:type="table" w:styleId="TableGrid">
    <w:name w:val="Table Grid"/>
    <w:basedOn w:val="TableNormal"/>
    <w:uiPriority w:val="39"/>
    <w:rsid w:val="006D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E1FD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1FD5"/>
  </w:style>
  <w:style w:type="paragraph" w:styleId="Footer">
    <w:name w:val="footer"/>
    <w:basedOn w:val="Normal"/>
    <w:link w:val="FooterChar"/>
    <w:uiPriority w:val="99"/>
    <w:semiHidden/>
    <w:unhideWhenUsed/>
    <w:rsid w:val="00BE1FD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1FD5"/>
  </w:style>
  <w:style w:type="character" w:styleId="Hyperlink">
    <w:name w:val="Hyperlink"/>
    <w:basedOn w:val="DefaultParagraphFont"/>
    <w:uiPriority w:val="99"/>
    <w:unhideWhenUsed/>
    <w:rsid w:val="00AE184C"/>
    <w:rPr>
      <w:color w:val="467886" w:themeColor="hyperlink"/>
      <w:u w:val="single"/>
    </w:rPr>
  </w:style>
  <w:style w:type="character" w:styleId="UnresolvedMention">
    <w:name w:val="Unresolved Mention"/>
    <w:basedOn w:val="DefaultParagraphFont"/>
    <w:uiPriority w:val="99"/>
    <w:semiHidden/>
    <w:unhideWhenUsed/>
    <w:rsid w:val="00AE18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606F195F9E54E90C15C550B60BDE3" ma:contentTypeVersion="11" ma:contentTypeDescription="Create a new document." ma:contentTypeScope="" ma:versionID="dedc0b5a0225392dfa498ed922a1885e">
  <xsd:schema xmlns:xsd="http://www.w3.org/2001/XMLSchema" xmlns:xs="http://www.w3.org/2001/XMLSchema" xmlns:p="http://schemas.microsoft.com/office/2006/metadata/properties" xmlns:ns2="b5af7db8-44d3-477b-9aa3-f59a2f3112db" xmlns:ns3="4811a21b-5327-45df-a691-13b15a93419e" targetNamespace="http://schemas.microsoft.com/office/2006/metadata/properties" ma:root="true" ma:fieldsID="eb8c68c38b667fcb1225d9bdd084b409" ns2:_="" ns3:_="">
    <xsd:import namespace="b5af7db8-44d3-477b-9aa3-f59a2f3112db"/>
    <xsd:import namespace="4811a21b-5327-45df-a691-13b15a9341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af7db8-44d3-477b-9aa3-f59a2f311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a4be973-1e2a-42b0-8d4b-c97c1dd982c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11a21b-5327-45df-a691-13b15a93419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0ab812c-0c46-483d-b2f9-b70c2c7d2b64}" ma:internalName="TaxCatchAll" ma:showField="CatchAllData" ma:web="4811a21b-5327-45df-a691-13b15a9341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811a21b-5327-45df-a691-13b15a93419e" xsi:nil="true"/>
    <lcf76f155ced4ddcb4097134ff3c332f xmlns="b5af7db8-44d3-477b-9aa3-f59a2f311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0AFA75-D368-43BF-8EEA-B0F472FE1D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af7db8-44d3-477b-9aa3-f59a2f3112db"/>
    <ds:schemaRef ds:uri="4811a21b-5327-45df-a691-13b15a934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D56D9A-A053-41FC-B0C6-489D2D2B96DC}">
  <ds:schemaRefs>
    <ds:schemaRef ds:uri="http://schemas.openxmlformats.org/officeDocument/2006/bibliography"/>
  </ds:schemaRefs>
</ds:datastoreItem>
</file>

<file path=customXml/itemProps3.xml><?xml version="1.0" encoding="utf-8"?>
<ds:datastoreItem xmlns:ds="http://schemas.openxmlformats.org/officeDocument/2006/customXml" ds:itemID="{E2D25E24-48BB-46C6-B1A8-4FA44F1160A5}">
  <ds:schemaRefs>
    <ds:schemaRef ds:uri="http://schemas.microsoft.com/sharepoint/v3/contenttype/forms"/>
  </ds:schemaRefs>
</ds:datastoreItem>
</file>

<file path=customXml/itemProps4.xml><?xml version="1.0" encoding="utf-8"?>
<ds:datastoreItem xmlns:ds="http://schemas.openxmlformats.org/officeDocument/2006/customXml" ds:itemID="{459DAB1C-E01B-492F-8463-DCB612DBD43D}">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b5af7db8-44d3-477b-9aa3-f59a2f3112db"/>
    <ds:schemaRef ds:uri="http://purl.org/dc/elements/1.1/"/>
    <ds:schemaRef ds:uri="http://www.w3.org/XML/1998/namespace"/>
    <ds:schemaRef ds:uri="http://schemas.microsoft.com/office/infopath/2007/PartnerControls"/>
    <ds:schemaRef ds:uri="4811a21b-5327-45df-a691-13b15a93419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3280</Words>
  <Characters>18472</Characters>
  <Application>Microsoft Office Word</Application>
  <DocSecurity>2</DocSecurity>
  <Lines>543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McCullough</dc:creator>
  <cp:keywords/>
  <dc:description/>
  <cp:lastModifiedBy>Catherine McCullough</cp:lastModifiedBy>
  <cp:revision>5</cp:revision>
  <cp:lastPrinted>2025-03-25T20:10:00Z</cp:lastPrinted>
  <dcterms:created xsi:type="dcterms:W3CDTF">2025-03-20T04:12:00Z</dcterms:created>
  <dcterms:modified xsi:type="dcterms:W3CDTF">2025-03-25T20:10:00Z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0x010100609606F195F9E54E90C15C550B60BDE3</vt:lpwstr>
  </property>
  <property fmtid="{D5CDD505-2E9C-101B-9397-08002B2CF9AE}" pid="3" name="MediaServiceImageTags">
    <vt:lpwstr/>
  </property>
</Properties>
</file>